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供应商合同合规审计发现</w:t>
      </w:r>
    </w:p>
    <w:p>
      <w:r>
        <w:t>本报告仅根据供应商清单、合同模板和五份合同 PDF 的文字内容编制。</w:t>
      </w:r>
    </w:p>
    <w:p>
      <w:pPr>
        <w:pStyle w:val="Heading1"/>
      </w:pPr>
      <w:r>
        <w:t>ООО ТехСервис</w:t>
      </w:r>
    </w:p>
    <w:p>
      <w:r>
        <w:t>服务类型：IT-услуги；合同开始日期：2022-01-15；年度合同金额：18500000。</w:t>
      </w:r>
    </w:p>
    <w:p>
      <w:r>
        <w:t>具体差距：Liability Limits=Missing。</w:t>
      </w:r>
    </w:p>
    <w:p>
      <w:r>
        <w:t>建议：补充责任上限。</w:t>
      </w:r>
    </w:p>
    <w:p>
      <w:r>
        <w:t>Compliance Score: 83.33 / 100；Overall Risk: Medium。</w:t>
      </w:r>
    </w:p>
    <w:p>
      <w:pPr>
        <w:pStyle w:val="Heading1"/>
      </w:pPr>
      <w:r>
        <w:t>Глобал Логистика</w:t>
      </w:r>
    </w:p>
    <w:p>
      <w:r>
        <w:t>服务类型：Логистика；合同开始日期：2021-06-01；年度合同金额：35500000。</w:t>
      </w:r>
    </w:p>
    <w:p>
      <w:r>
        <w:t>具体差距：SLA Present=Incomplete；Confidentiality=Missing。</w:t>
      </w:r>
    </w:p>
    <w:p>
      <w:r>
        <w:t>建议：补充可衡量 SLA；补充保密条款。</w:t>
      </w:r>
    </w:p>
    <w:p>
      <w:r>
        <w:t>Compliance Score: 66.67 / 100；Overall Risk: High。</w:t>
      </w:r>
    </w:p>
    <w:p>
      <w:pPr>
        <w:pStyle w:val="Heading1"/>
      </w:pPr>
      <w:r>
        <w:t>КонтролКачество</w:t>
      </w:r>
    </w:p>
    <w:p>
      <w:r>
        <w:t>服务类型：Производство；合同开始日期：2020-03-20；年度合同金额：23700000。</w:t>
      </w:r>
    </w:p>
    <w:p>
      <w:r>
        <w:t>具体差距：Payment Terms=Non-Compliant。</w:t>
      </w:r>
    </w:p>
    <w:p>
      <w:r>
        <w:t>建议：复核付款条件。</w:t>
      </w:r>
    </w:p>
    <w:p>
      <w:r>
        <w:t>Compliance Score: 83.33 / 100；Overall Risk: Medium。</w:t>
      </w:r>
    </w:p>
    <w:p>
      <w:pPr>
        <w:pStyle w:val="Heading1"/>
      </w:pPr>
      <w:r>
        <w:t>КонсалтГрупп</w:t>
      </w:r>
    </w:p>
    <w:p>
      <w:r>
        <w:t>服务类型：Консалтинг；合同开始日期：2022-09-10；年度合同金额：11100000。</w:t>
      </w:r>
    </w:p>
    <w:p>
      <w:r>
        <w:t>具体差距：Scope Clarity=Incomplete；IP Rights=Incomplete。</w:t>
      </w:r>
    </w:p>
    <w:p>
      <w:r>
        <w:t>建议：明确服务范围；明确知识产权归属。</w:t>
      </w:r>
    </w:p>
    <w:p>
      <w:r>
        <w:t>Compliance Score: 66.67 / 100；Overall Risk: High。</w:t>
      </w:r>
    </w:p>
    <w:p>
      <w:pPr>
        <w:pStyle w:val="Heading1"/>
      </w:pPr>
      <w:r>
        <w:t>СервисПоддержка</w:t>
      </w:r>
    </w:p>
    <w:p>
      <w:r>
        <w:t>服务类型：Клиентская поддержка；合同开始日期：2021-11-05；年度合同金额：14800000。</w:t>
      </w:r>
    </w:p>
    <w:p>
      <w:r>
        <w:t>未发现与模板六个审计维度相关的差距，建议按现有条款持续监控。</w:t>
      </w:r>
    </w:p>
    <w:p>
      <w:r>
        <w:t>Compliance Score: 100.00 / 100；Overall Risk: Low。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