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合同合规审计执行摘要</w:t>
      </w:r>
    </w:p>
    <w:p>
      <w:r>
        <w:t>Average Compliance Score: 80.00 / 100。</w:t>
      </w:r>
    </w:p>
    <w:p>
      <w:r>
        <w:t>Risk distribution: High=2; Medium=2; Low=1。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Compliance 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Overall Risk</w:t>
            </w:r>
          </w:p>
        </w:tc>
      </w:tr>
      <w:tr>
        <w:tc>
          <w:tcPr>
            <w:tcW w:type="dxa" w:w="2880"/>
          </w:tcPr>
          <w:p>
            <w:r>
              <w:t>ООО ТехСервис</w:t>
            </w:r>
          </w:p>
        </w:tc>
        <w:tc>
          <w:tcPr>
            <w:tcW w:type="dxa" w:w="2880"/>
          </w:tcPr>
          <w:p>
            <w:r>
              <w:t>83.33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Глобал Логистика</w:t>
            </w:r>
          </w:p>
        </w:tc>
        <w:tc>
          <w:tcPr>
            <w:tcW w:type="dxa" w:w="2880"/>
          </w:tcPr>
          <w:p>
            <w:r>
              <w:t>66.67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КонтролКачество</w:t>
            </w:r>
          </w:p>
        </w:tc>
        <w:tc>
          <w:tcPr>
            <w:tcW w:type="dxa" w:w="2880"/>
          </w:tcPr>
          <w:p>
            <w:r>
              <w:t>83.33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КонсалтГрупп</w:t>
            </w:r>
          </w:p>
        </w:tc>
        <w:tc>
          <w:tcPr>
            <w:tcW w:type="dxa" w:w="2880"/>
          </w:tcPr>
          <w:p>
            <w:r>
              <w:t>66.67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СервисПоддержка</w:t>
            </w:r>
          </w:p>
        </w:tc>
        <w:tc>
          <w:tcPr>
            <w:tcW w:type="dxa" w:w="2880"/>
          </w:tcPr>
          <w:p>
            <w:r>
              <w:t>100.00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r>
        <w:t>高风险供应商需要优先完成整改；本文件和相关邮件/会议文件均为离线草稿，未执行外部发送或日历创建。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