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Grade Teaching Report</w:t>
      </w:r>
    </w:p>
    <w:p>
      <w:r>
        <w:t>Prepared from student_scores.xlsx; repeated names are consolidated by student.</w:t>
      </w:r>
    </w:p>
    <w:p>
      <w:pPr>
        <w:pStyle w:val="Heading1"/>
      </w:pPr>
      <w:r>
        <w:t>Class Overview</w:t>
      </w:r>
    </w:p>
    <w:p>
      <w:r>
        <w:t>Grade records: 20 | Students: 12 | Class average: 79.35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Band</w:t>
            </w:r>
          </w:p>
        </w:tc>
        <w:tc>
          <w:tcPr>
            <w:tcW w:type="dxa" w:w="4320"/>
          </w:tcPr>
          <w:p>
            <w:r>
              <w:t>Records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Student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Records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  <w:tc>
          <w:tcPr>
            <w:tcW w:type="dxa" w:w="1728"/>
          </w:tcPr>
          <w:p>
            <w:r>
              <w:t>Highest</w:t>
            </w:r>
          </w:p>
        </w:tc>
        <w:tc>
          <w:tcPr>
            <w:tcW w:type="dxa" w:w="1728"/>
          </w:tcPr>
          <w:p>
            <w:r>
              <w:t>Lowest</w:t>
            </w:r>
          </w:p>
        </w:tc>
      </w:tr>
      <w:tr>
        <w:tc>
          <w:tcPr>
            <w:tcW w:type="dxa" w:w="1728"/>
          </w:tcPr>
          <w:p>
            <w:r>
              <w:t>Alice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74.00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74</w:t>
            </w:r>
          </w:p>
        </w:tc>
      </w:tr>
      <w:tr>
        <w:tc>
          <w:tcPr>
            <w:tcW w:type="dxa" w:w="1728"/>
          </w:tcPr>
          <w:p>
            <w:r>
              <w:t>Bob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62.00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  <w:tr>
        <w:tc>
          <w:tcPr>
            <w:tcW w:type="dxa" w:w="1728"/>
          </w:tcPr>
          <w:p>
            <w:r>
              <w:t>Carol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81.00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81</w:t>
            </w:r>
          </w:p>
        </w:tc>
      </w:tr>
      <w:tr>
        <w:tc>
          <w:tcPr>
            <w:tcW w:type="dxa" w:w="1728"/>
          </w:tcPr>
          <w:p>
            <w:r>
              <w:t>Emma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72.00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67</w:t>
            </w:r>
          </w:p>
        </w:tc>
      </w:tr>
      <w:tr>
        <w:tc>
          <w:tcPr>
            <w:tcW w:type="dxa" w:w="1728"/>
          </w:tcPr>
          <w:p>
            <w:r>
              <w:t>Henry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78.00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  <w:tr>
        <w:tc>
          <w:tcPr>
            <w:tcW w:type="dxa" w:w="1728"/>
          </w:tcPr>
          <w:p>
            <w:r>
              <w:t>Ivy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67.00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67</w:t>
            </w:r>
          </w:p>
        </w:tc>
      </w:tr>
      <w:tr>
        <w:tc>
          <w:tcPr>
            <w:tcW w:type="dxa" w:w="1728"/>
          </w:tcPr>
          <w:p>
            <w:r>
              <w:t>Liam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99.00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99</w:t>
            </w:r>
          </w:p>
        </w:tc>
      </w:tr>
      <w:tr>
        <w:tc>
          <w:tcPr>
            <w:tcW w:type="dxa" w:w="1728"/>
          </w:tcPr>
          <w:p>
            <w:r>
              <w:t>Noah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70.00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Olivia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79.67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  <w:tr>
        <w:tc>
          <w:tcPr>
            <w:tcW w:type="dxa" w:w="1728"/>
          </w:tcPr>
          <w:p>
            <w:r>
              <w:t>Quinn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87.25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80</w:t>
            </w:r>
          </w:p>
        </w:tc>
      </w:tr>
      <w:tr>
        <w:tc>
          <w:tcPr>
            <w:tcW w:type="dxa" w:w="1728"/>
          </w:tcPr>
          <w:p>
            <w:r>
              <w:t>Rachel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81.00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81</w:t>
            </w:r>
          </w:p>
        </w:tc>
      </w:tr>
      <w:tr>
        <w:tc>
          <w:tcPr>
            <w:tcW w:type="dxa" w:w="1728"/>
          </w:tcPr>
          <w:p>
            <w:r>
              <w:t>Tina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95</w:t>
            </w:r>
          </w:p>
        </w:tc>
      </w:tr>
    </w:tbl>
    <w:p>
      <w:pPr>
        <w:pStyle w:val="Heading1"/>
      </w:pPr>
      <w:r>
        <w:t>Teaching Priorities</w:t>
      </w:r>
    </w:p>
    <w:p>
      <w:r>
        <w:t>Priority support: Bob (62.00), Ivy (67.00).</w:t>
      </w:r>
    </w:p>
    <w:p>
      <w:r>
        <w:t>High-performing students: Liam (99.00), Tina (95.00).</w:t>
      </w:r>
    </w:p>
    <w:p>
      <w:r>
        <w:t>Use the lowest individual scores in the student summary to target review, and recognize sustained high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