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Revenue Filter Report</w:t>
      </w:r>
    </w:p>
    <w:p>
      <w:pPr>
        <w:pStyle w:val="Heading1"/>
      </w:pPr>
      <w:r>
        <w:t>Executive Summary</w:t>
      </w:r>
    </w:p>
    <w:p>
      <w:r>
        <w:t>Annual revenue records below $2,000,000 were removed. Records equal to the threshold are retained.</w:t>
      </w:r>
    </w:p>
    <w:p>
      <w:r>
        <w:t>Input rows: 20. Retained rows: 17. Removed rows: 3.</w:t>
      </w:r>
    </w:p>
    <w:p>
      <w:pPr>
        <w:pStyle w:val="Heading1"/>
      </w:pPr>
      <w:r>
        <w:t>Removed Years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Revenue ($)</w:t>
            </w:r>
          </w:p>
        </w:tc>
      </w:tr>
      <w:tr>
        <w:tc>
          <w:tcPr>
            <w:tcW w:type="dxa" w:w="4320"/>
          </w:tcPr>
          <w:p>
            <w:r>
              <w:t>2006</w:t>
            </w:r>
          </w:p>
        </w:tc>
        <w:tc>
          <w:tcPr>
            <w:tcW w:type="dxa" w:w="4320"/>
          </w:tcPr>
          <w:p>
            <w:r>
              <w:t>$1,193,225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$1,791,112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$1,463,500</w:t>
            </w:r>
          </w:p>
        </w:tc>
      </w:tr>
    </w:tbl>
    <w:p>
      <w:pPr>
        <w:pStyle w:val="Heading1"/>
      </w:pPr>
      <w:r>
        <w:t>Method</w:t>
      </w:r>
    </w:p>
    <w:p>
      <w:r>
        <w:t>The source order and original revenue values were preserved for all retained years in new.xlsx.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