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02188F">
      <w:pPr>
        <w:spacing w:before="0" w:after="240" w:lineRule="auto" w:line="240"/>
        <w:jc w:val="center"/>
        <w:rPr>
          <w:rFonts w:hint="eastAsia" w:ascii="黑体" w:hAnsi="黑体" w:eastAsia="黑体"/>
          <w:b/>
          <w:bCs/>
          <w:sz w:val="32"/>
          <w:szCs w:val="32"/>
        </w:rPr>
        <w:snapToGrid w:val="0"/>
      </w:pPr>
      <w:r>
        <w:rPr>
          <w:rFonts w:ascii="Times New Roman" w:hAnsi="Times New Roman" w:eastAsia="黑体"/>
          <w:b/>
          <w:sz w:val="32"/>
        </w:rPr>
        <w:t>华中区域零售项目财务资金异常、库存占用及现金流风险专项核查材料</w:t>
      </w:r>
    </w:p>
    <w:p w14:paraId="689E8D1A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 w:before="120" w:after="80"/>
        <w:ind w:firstLineChars="200" w:firstLine="560"/>
        <w:jc w:val="both"/>
        <w:textAlignment w:val="auto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ascii="Times New Roman" w:hAnsi="Times New Roman" w:eastAsia="宋体"/>
          <w:b/>
          <w:sz w:val="28"/>
        </w:rPr>
        <w:t>一、基本概况</w:t>
      </w:r>
    </w:p>
    <w:p w14:paraId="102ECDF8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color w:val="000000"/>
          <w:sz w:val="24"/>
          <w:szCs w:val="24"/>
        </w:rPr>
      </w:pPr>
      <w:r>
        <w:rPr>
          <w:rFonts w:ascii="Times New Roman" w:hAnsi="Times New Roman" w:eastAsia="宋体"/>
          <w:b/>
          <w:sz w:val="24"/>
        </w:rPr>
        <w:t>（一）项目概况</w:t>
      </w:r>
    </w:p>
    <w:p w14:paraId="17B0A31D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left="0" w:right="0" w:firstLineChars="200" w:firstLine="480"/>
        <w:jc w:val="both"/>
        <w:textAlignment w:val="auto"/>
        <w:rPr>
          <w:color w:val="000000"/>
          <w:sz w:val="24"/>
          <w:szCs w:val="24"/>
        </w:rPr>
      </w:pPr>
      <w:r>
        <w:rPr>
          <w:rFonts w:ascii="Times New Roman" w:hAnsi="Times New Roman" w:eastAsia="宋体"/>
          <w:b w:val="0"/>
          <w:sz w:val="24"/>
        </w:rPr>
        <w:t>华中区域零售项目于 2025 年正式启动，定位为服务周边社区的综合线下零售门店，同步开通线上销售渠道。项目采用多方合作运营模式，</w:t>
      </w:r>
      <w:r>
        <w:rPr>
          <w:rFonts w:ascii="Times New Roman" w:hAnsi="Times New Roman" w:eastAsia="宋体"/>
          <w:b/>
          <w:sz w:val="24"/>
        </w:rPr>
        <w:t>远艘零售项目部</w:t>
      </w:r>
      <w:r>
        <w:rPr>
          <w:rFonts w:ascii="Times New Roman" w:hAnsi="Times New Roman" w:eastAsia="宋体"/>
          <w:b w:val="0"/>
          <w:sz w:val="24"/>
        </w:rPr>
        <w:t>为项目主体及实际经营方，</w:t>
      </w:r>
      <w:r>
        <w:rPr>
          <w:rFonts w:ascii="Times New Roman" w:hAnsi="Times New Roman" w:eastAsia="宋体"/>
          <w:b/>
          <w:sz w:val="24"/>
        </w:rPr>
        <w:t>华梅商业运营有限公司</w:t>
      </w:r>
      <w:r>
        <w:rPr>
          <w:rFonts w:ascii="Times New Roman" w:hAnsi="Times New Roman" w:eastAsia="宋体"/>
          <w:b w:val="0"/>
          <w:sz w:val="24"/>
        </w:rPr>
        <w:t>承担项目运营管理职责，</w:t>
      </w:r>
      <w:r>
        <w:rPr>
          <w:rFonts w:ascii="Times New Roman" w:hAnsi="Times New Roman" w:eastAsia="宋体"/>
          <w:b/>
          <w:sz w:val="24"/>
        </w:rPr>
        <w:t>云囍供应链有限公司</w:t>
      </w:r>
      <w:r>
        <w:rPr>
          <w:rFonts w:ascii="Times New Roman" w:hAnsi="Times New Roman" w:eastAsia="宋体"/>
          <w:b w:val="0"/>
          <w:sz w:val="24"/>
        </w:rPr>
        <w:t>负责仓储物流协同，</w:t>
      </w:r>
      <w:r>
        <w:rPr>
          <w:rFonts w:ascii="Times New Roman" w:hAnsi="Times New Roman" w:eastAsia="宋体"/>
          <w:b/>
          <w:sz w:val="24"/>
        </w:rPr>
        <w:t>嘉笔数字商贸有限公司</w:t>
      </w:r>
      <w:r>
        <w:rPr>
          <w:rFonts w:ascii="Times New Roman" w:hAnsi="Times New Roman" w:eastAsia="宋体"/>
          <w:b w:val="0"/>
          <w:sz w:val="24"/>
        </w:rPr>
        <w:t>为线上平台代运营方，安莫管理咨询中心提供财务协查支撑。</w:t>
      </w:r>
    </w:p>
    <w:p w14:paraId="5531181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left="0" w:right="0" w:firstLineChars="200" w:firstLine="480"/>
        <w:jc w:val="both"/>
        <w:textAlignment w:val="auto"/>
        <w:rPr>
          <w:color w:val="000000"/>
          <w:sz w:val="24"/>
          <w:szCs w:val="24"/>
        </w:rPr>
      </w:pPr>
      <w:r>
        <w:rPr>
          <w:rFonts w:ascii="Times New Roman" w:hAnsi="Times New Roman" w:eastAsia="宋体"/>
          <w:b w:val="0"/>
          <w:sz w:val="24"/>
        </w:rPr>
        <w:t>合作初始约定：运营方负责商品采购、供应链对接、门店运营及费用核算；投资方负责启动资金投入、本地门店日常管理与经营协调；项目以月度对账为基准，实现采购、入库、销售、回款、费用结算闭环运营。</w:t>
      </w:r>
    </w:p>
    <w:p w14:paraId="3F7BA4FF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color w:val="000000"/>
          <w:sz w:val="24"/>
          <w:szCs w:val="24"/>
        </w:rPr>
      </w:pPr>
      <w:r>
        <w:rPr>
          <w:rFonts w:ascii="Times New Roman" w:hAnsi="Times New Roman" w:eastAsia="宋体"/>
          <w:b/>
          <w:sz w:val="24"/>
        </w:rPr>
        <w:t>（二）核查范围与依据</w:t>
      </w:r>
    </w:p>
    <w:p w14:paraId="2AFDF6BC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left="0" w:right="0" w:firstLineChars="200" w:firstLine="480"/>
        <w:jc w:val="both"/>
        <w:textAlignment w:val="auto"/>
        <w:rPr>
          <w:color w:val="000000"/>
          <w:sz w:val="24"/>
          <w:szCs w:val="24"/>
        </w:rPr>
      </w:pPr>
      <w:r>
        <w:rPr>
          <w:rFonts w:ascii="Times New Roman" w:hAnsi="Times New Roman" w:eastAsia="宋体"/>
          <w:b w:val="0"/>
          <w:sz w:val="24"/>
        </w:rPr>
        <w:t>核查范围：2025 年 1 月 - 11 月项目资金收支、预付款项、平台结算、物流费用、运营服务费、内部资金调拨、库存占用及费用分摊等全流程业务。</w:t>
      </w:r>
    </w:p>
    <w:p w14:paraId="5C0F932C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left="0" w:right="0" w:firstLineChars="200" w:firstLine="480"/>
        <w:jc w:val="both"/>
        <w:textAlignment w:val="auto"/>
        <w:rPr>
          <w:color w:val="000000"/>
          <w:sz w:val="24"/>
          <w:szCs w:val="24"/>
        </w:rPr>
      </w:pPr>
      <w:r>
        <w:rPr>
          <w:rFonts w:ascii="Times New Roman" w:hAnsi="Times New Roman" w:eastAsia="宋体"/>
          <w:b w:val="0"/>
          <w:sz w:val="24"/>
        </w:rPr>
        <w:t>核查依据：项目运营台账、往来对账记录、月度运营报表、资金流转单据、合作沟通资料、库存统计数据表及各方业务协同记录。</w:t>
      </w:r>
    </w:p>
    <w:p w14:paraId="77FEB71B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left="0" w:right="0" w:firstLineChars="200" w:firstLine="480"/>
        <w:jc w:val="both"/>
        <w:textAlignment w:val="auto"/>
        <w:rPr>
          <w:color w:val="000000"/>
          <w:sz w:val="24"/>
          <w:szCs w:val="24"/>
        </w:rPr>
      </w:pPr>
      <w:r>
        <w:rPr>
          <w:rFonts w:ascii="Times New Roman" w:hAnsi="Times New Roman" w:eastAsia="宋体"/>
          <w:b w:val="0"/>
          <w:sz w:val="24"/>
        </w:rPr>
        <w:t>核查说明：本次核查为阶段性事实梳理，部分原始凭证尚待补充核验，暂不作最终责任定性，仅客观列明资金异常线索、核查发现问题、经营影响及风险处置建议。</w:t>
      </w:r>
    </w:p>
    <w:p w14:paraId="0A9BF197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 w:before="120" w:after="80"/>
        <w:ind w:firstLineChars="200" w:firstLine="560"/>
        <w:jc w:val="both"/>
        <w:textAlignment w:val="auto"/>
        <w:rPr>
          <w:rFonts w:hint="eastAsia"/>
          <w:b/>
          <w:bCs/>
          <w:sz w:val="28"/>
          <w:szCs w:val="28"/>
        </w:rPr>
      </w:pPr>
      <w:r>
        <w:rPr>
          <w:rFonts w:ascii="Times New Roman" w:hAnsi="Times New Roman" w:eastAsia="宋体"/>
          <w:b/>
          <w:sz w:val="28"/>
        </w:rPr>
        <w:t>二、关联合作主体及职责边界</w:t>
      </w:r>
    </w:p>
    <w:p w14:paraId="1F2595A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left="0" w:right="0" w:firstLineChars="200" w:firstLine="480"/>
        <w:jc w:val="both"/>
        <w:textAlignment w:val="auto"/>
        <w:rPr>
          <w:color w:val="000000"/>
          <w:sz w:val="24"/>
          <w:szCs w:val="24"/>
        </w:rPr>
      </w:pPr>
      <w:r>
        <w:rPr>
          <w:rFonts w:ascii="Times New Roman" w:hAnsi="Times New Roman" w:eastAsia="宋体"/>
          <w:b w:val="0"/>
          <w:sz w:val="24"/>
        </w:rPr>
        <w:t>本次项目涉及五家核心关联主体，各主体业务职能交叉、数据各自留存，未建立统一对账口径，存在职责边界模糊、数据信息不同步问题，具体如下：</w:t>
      </w:r>
    </w:p>
    <w:tbl>
      <w:tblPr>
        <w:tblW w:w="5000" w:type="pct"/>
        <w:jc w:val="center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4"/>
        <w:gridCol w:w="1500"/>
        <w:gridCol w:w="1047"/>
        <w:gridCol w:w="2759"/>
        <w:gridCol w:w="2646"/>
      </w:tblGrid>
      <w:tr w14:paraId="0F0579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cantSplit/>
        </w:trPr>
        <w:tc>
          <w:tcPr>
            <w:tcW w:w="0" w:type="auto"/>
            <w:tcBorders>
              <w:top w:val="single" w:color="000000" w:themeColor="text1" w:sz="12" w:space="0"/>
              <w:left w:val="nil" w:sz="0"/>
              <w:bottom w:val="single" w:color="000000" w:sz="4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96DE7D7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center"/>
              <w:rPr>
                <w:b/>
                <w:bCs/>
              </w:rPr>
              <w:snapToGrid w:val="0"/>
            </w:pPr>
            <w:r>
              <w:rPr>
                <w:rFonts w:ascii="Times New Roman" w:hAnsi="Times New Roman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000000" w:themeColor="text1" w:sz="12" w:space="0"/>
              <w:left w:val="nil" w:sz="0"/>
              <w:bottom w:val="single" w:color="000000" w:sz="4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302D2D74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center"/>
              <w:rPr>
                <w:b/>
                <w:bCs/>
              </w:rPr>
              <w:snapToGrid w:val="0"/>
            </w:pPr>
            <w:r>
              <w:rPr>
                <w:rFonts w:ascii="Times New Roman" w:hAnsi="Times New Roman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合作主体名称</w:t>
            </w:r>
          </w:p>
        </w:tc>
        <w:tc>
          <w:tcPr>
            <w:tcW w:w="0" w:type="auto"/>
            <w:tcBorders>
              <w:top w:val="single" w:color="000000" w:themeColor="text1" w:sz="12" w:space="0"/>
              <w:left w:val="nil" w:sz="0"/>
              <w:bottom w:val="single" w:color="000000" w:sz="4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3F2ECEB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center"/>
              <w:rPr>
                <w:b/>
                <w:bCs/>
              </w:rPr>
              <w:snapToGrid w:val="0"/>
            </w:pPr>
            <w:r>
              <w:rPr>
                <w:rFonts w:ascii="Times New Roman" w:hAnsi="Times New Roman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核心角色</w:t>
            </w:r>
          </w:p>
        </w:tc>
        <w:tc>
          <w:tcPr>
            <w:tcW w:w="0" w:type="auto"/>
            <w:tcBorders>
              <w:top w:val="single" w:color="000000" w:themeColor="text1" w:sz="12" w:space="0"/>
              <w:left w:val="nil" w:sz="0"/>
              <w:bottom w:val="single" w:color="000000" w:sz="4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76102975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center"/>
              <w:rPr>
                <w:b/>
                <w:bCs/>
              </w:rPr>
              <w:snapToGrid w:val="0"/>
            </w:pPr>
            <w:r>
              <w:rPr>
                <w:rFonts w:ascii="Times New Roman" w:hAnsi="Times New Roman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主要职责</w:t>
            </w:r>
          </w:p>
        </w:tc>
        <w:tc>
          <w:tcPr>
            <w:tcW w:w="0" w:type="auto"/>
            <w:tcBorders>
              <w:top w:val="single" w:color="000000" w:themeColor="text1" w:sz="12" w:space="0"/>
              <w:left w:val="nil" w:sz="0"/>
              <w:bottom w:val="single" w:color="000000" w:sz="4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E5E090C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center"/>
              <w:rPr>
                <w:b/>
                <w:bCs/>
              </w:rPr>
              <w:snapToGrid w:val="0"/>
            </w:pPr>
            <w:r>
              <w:rPr>
                <w:rFonts w:ascii="Times New Roman" w:hAnsi="Times New Roman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现存问题</w:t>
            </w:r>
          </w:p>
        </w:tc>
      </w:tr>
      <w:tr w14:paraId="7FBA9B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color="auto" w:sz="0" w:space="0"/>
              <w:left w:val="nil" w:sz="0"/>
              <w:bottom w:val="nil" w:color="000000" w:themeColor="text1" w:sz="0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34ECB4B6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 w:color="auto" w:sz="0" w:space="0"/>
              <w:left w:val="nil" w:sz="0"/>
              <w:bottom w:val="nil" w:color="000000" w:themeColor="text1" w:sz="0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4EB200AF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华梅商业运营有限公司</w:t>
            </w:r>
          </w:p>
        </w:tc>
        <w:tc>
          <w:tcPr>
            <w:tcW w:w="0" w:type="auto"/>
            <w:tcBorders>
              <w:top w:val="nil" w:color="auto" w:sz="0" w:space="0"/>
              <w:left w:val="nil" w:sz="0"/>
              <w:bottom w:val="nil" w:color="000000" w:themeColor="text1" w:sz="0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501BF2EA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项目运营方</w:t>
            </w:r>
          </w:p>
        </w:tc>
        <w:tc>
          <w:tcPr>
            <w:tcW w:w="0" w:type="auto"/>
            <w:tcBorders>
              <w:top w:val="nil" w:color="auto" w:sz="0" w:space="0"/>
              <w:left w:val="nil" w:sz="0"/>
              <w:bottom w:val="nil" w:color="000000" w:themeColor="text1" w:sz="0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1158B485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采购计划制定、门店运营指导、费用核算分摊</w:t>
            </w:r>
          </w:p>
        </w:tc>
        <w:tc>
          <w:tcPr>
            <w:tcW w:w="0" w:type="auto"/>
            <w:tcBorders>
              <w:top w:val="nil" w:color="auto" w:sz="0" w:space="0"/>
              <w:left w:val="nil" w:sz="0"/>
              <w:bottom w:val="nil" w:color="000000" w:themeColor="text1" w:sz="0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57E8E55A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主导采购与费用列支，费用科目划分不清</w:t>
            </w:r>
          </w:p>
        </w:tc>
      </w:tr>
      <w:tr w14:paraId="069D16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color="000000" w:themeColor="text1" w:sz="0" w:space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FFD5832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 w:color="000000" w:themeColor="text1" w:sz="0" w:space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37427AB6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云囍供应链有限公司</w:t>
            </w:r>
          </w:p>
        </w:tc>
        <w:tc>
          <w:tcPr>
            <w:tcW w:w="0" w:type="auto"/>
            <w:tcBorders>
              <w:top w:val="nil" w:color="000000" w:themeColor="text1" w:sz="0" w:space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662E5877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物流协同方</w:t>
            </w:r>
          </w:p>
        </w:tc>
        <w:tc>
          <w:tcPr>
            <w:tcW w:w="0" w:type="auto"/>
            <w:tcBorders>
              <w:top w:val="nil" w:color="000000" w:themeColor="text1" w:sz="0" w:space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44176D8D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仓储配送、到货协调、供应商对接</w:t>
            </w:r>
          </w:p>
        </w:tc>
        <w:tc>
          <w:tcPr>
            <w:tcW w:w="0" w:type="auto"/>
            <w:tcBorders>
              <w:top w:val="nil" w:color="000000" w:themeColor="text1" w:sz="0" w:space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10A19A79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物流单据、配送回单留存不完整</w:t>
            </w:r>
          </w:p>
        </w:tc>
      </w:tr>
      <w:tr w14:paraId="699754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5B37D6DF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6A95C38E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嘉笔数字商贸有限公司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3E5B78AE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平台代运营方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6D323102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线上渠道运营、订单收款、平台结算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5F8FACF2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代收销售收入，回款结算周期随意延后</w:t>
            </w:r>
          </w:p>
        </w:tc>
      </w:tr>
      <w:tr w14:paraId="4EB5CD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180056F0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2712BFFC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远艘零售项目部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6AB45785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项目主体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670156D0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门店经营、本地管理、经营资料归集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1BA5A28E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关键业务数据依赖外部主体，资金管控偏弱</w:t>
            </w:r>
          </w:p>
        </w:tc>
      </w:tr>
      <w:tr w14:paraId="653A2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sz="0"/>
              <w:left w:val="nil" w:sz="0"/>
              <w:bottom w:val="single" w:color="000000" w:themeColor="text1" w:sz="12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51D2D57D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single" w:color="000000" w:themeColor="text1" w:sz="12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2377B8BE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安莫管理咨询中心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single" w:color="000000" w:themeColor="text1" w:sz="12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534483EE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财务协查方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single" w:color="000000" w:themeColor="text1" w:sz="12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5111C69F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台账整理、往来对账、费用科目梳理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single" w:color="000000" w:themeColor="text1" w:sz="12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21209C1C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仅协助资料整理，无最终审批决策权</w:t>
            </w:r>
          </w:p>
        </w:tc>
      </w:tr>
    </w:tbl>
    <w:p w14:paraId="4030143C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 w:before="120" w:after="80"/>
        <w:ind w:firstLineChars="200" w:firstLine="560"/>
        <w:jc w:val="both"/>
        <w:textAlignment w:val="auto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ascii="Times New Roman" w:hAnsi="Times New Roman" w:eastAsia="宋体"/>
          <w:b/>
          <w:sz w:val="28"/>
        </w:rPr>
        <w:t>三、专项核查发现资金异常事项经比对</w:t>
      </w:r>
    </w:p>
    <w:p w14:paraId="12BAB03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left="0" w:right="0" w:firstLineChars="200" w:firstLine="480"/>
        <w:jc w:val="both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Times New Roman" w:hAnsi="Times New Roman" w:eastAsia="宋体"/>
          <w:b w:val="0"/>
          <w:sz w:val="24"/>
        </w:rPr>
        <w:t>账户流水、采购台账、平台结算记录及内部往来数据，项目存在提前预付账款、平台收入回流滞后、运营服务费重复计费、费用分摊依据不足、内部资金调拨待核、业务单据缺失六大类异常，涉及多笔大额资金往来：</w:t>
      </w:r>
    </w:p>
    <w:tbl>
      <w:tblPr>
        <w:tblW w:w="5000" w:type="pct"/>
        <w:jc w:val="center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6"/>
        <w:gridCol w:w="1200"/>
        <w:gridCol w:w="1589"/>
        <w:gridCol w:w="4461"/>
      </w:tblGrid>
      <w:tr w14:paraId="6272B6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cantSplit/>
        </w:trPr>
        <w:tc>
          <w:tcPr>
            <w:tcW w:w="0" w:type="auto"/>
            <w:tcBorders>
              <w:top w:val="single" w:color="000000" w:themeColor="text1" w:sz="12" w:space="0"/>
              <w:left w:val="nil" w:sz="0"/>
              <w:bottom w:val="single" w:color="000000" w:sz="4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6416FB9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center"/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发生时间</w:t>
            </w:r>
          </w:p>
        </w:tc>
        <w:tc>
          <w:tcPr>
            <w:tcW w:w="0" w:type="auto"/>
            <w:tcBorders>
              <w:top w:val="single" w:color="000000" w:themeColor="text1" w:sz="12" w:space="0"/>
              <w:left w:val="nil" w:sz="0"/>
              <w:bottom w:val="single" w:color="000000" w:sz="4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5E96ACE1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center"/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业务类型</w:t>
            </w:r>
          </w:p>
        </w:tc>
        <w:tc>
          <w:tcPr>
            <w:tcW w:w="0" w:type="auto"/>
            <w:tcBorders>
              <w:top w:val="single" w:color="000000" w:themeColor="text1" w:sz="12" w:space="0"/>
              <w:left w:val="nil" w:sz="0"/>
              <w:bottom w:val="single" w:color="000000" w:sz="4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6100F22D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center"/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涉及金额（万元）</w:t>
            </w:r>
          </w:p>
        </w:tc>
        <w:tc>
          <w:tcPr>
            <w:tcW w:w="0" w:type="auto"/>
            <w:tcBorders>
              <w:top w:val="single" w:color="000000" w:themeColor="text1" w:sz="12" w:space="0"/>
              <w:left w:val="nil" w:sz="0"/>
              <w:bottom w:val="single" w:color="000000" w:sz="4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5AB85FA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center"/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异常核心问题</w:t>
            </w:r>
          </w:p>
        </w:tc>
      </w:tr>
      <w:tr w14:paraId="09419B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color="auto" w:sz="0" w:space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3CD7ABD8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2025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年 </w:t>
            </w: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1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月</w:t>
            </w:r>
          </w:p>
        </w:tc>
        <w:tc>
          <w:tcPr>
            <w:tcW w:w="0" w:type="auto"/>
            <w:tcBorders>
              <w:top w:val="nil" w:color="auto" w:sz="0" w:space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7BF2AD21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开办筹备款</w:t>
            </w:r>
          </w:p>
        </w:tc>
        <w:tc>
          <w:tcPr>
            <w:tcW w:w="0" w:type="auto"/>
            <w:tcBorders>
              <w:top w:val="nil" w:color="auto" w:sz="0" w:space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06BAD6A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85</w:t>
            </w:r>
          </w:p>
        </w:tc>
        <w:tc>
          <w:tcPr>
            <w:tcW w:w="0" w:type="auto"/>
            <w:tcBorders>
              <w:top w:val="nil" w:color="auto" w:sz="0" w:space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75F1E6E6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门店筹建及系统接入支出，明细凭证资料缺失待补</w:t>
            </w:r>
          </w:p>
        </w:tc>
      </w:tr>
      <w:tr w14:paraId="3FD587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375A9D9E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2025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年 </w:t>
            </w: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 xml:space="preserve">2 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月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671E3143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供应链预付款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3FE9A4DC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320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28B6DB7E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提前大额预付货款，付款进度与货物交付、入库验收不匹配</w:t>
            </w:r>
          </w:p>
        </w:tc>
      </w:tr>
      <w:tr w14:paraId="372EB4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BDD5B1C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2025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年 </w:t>
            </w: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3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月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3038E0EF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平台结算挂账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1F47F310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118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7481E106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线上订单收入滞留平台账户，未按约定回流项目主体，长期挂账</w:t>
            </w:r>
          </w:p>
        </w:tc>
      </w:tr>
      <w:tr w14:paraId="3A2065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1B071348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2025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年 </w:t>
            </w: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4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月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40A7524E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物流代垫费用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6599652B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52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ECA5ED1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物流配送回单、费用分摊依据留存不完整，无法核验真实性</w:t>
            </w:r>
          </w:p>
        </w:tc>
      </w:tr>
      <w:tr w14:paraId="506905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28C1CA58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2025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年 </w:t>
            </w: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5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月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64985F25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运营服务费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122E30F6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76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56229509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固定管理费与订单服务费重复计提、重复计费</w:t>
            </w:r>
          </w:p>
        </w:tc>
      </w:tr>
      <w:tr w14:paraId="0E253D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76069906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2025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年 </w:t>
            </w: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6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月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3CD5D61C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促销费用分摊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426ED0C5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44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62A878FE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费用归属期间与营销活动确认资料不一致，跨期列支</w:t>
            </w:r>
          </w:p>
        </w:tc>
      </w:tr>
      <w:tr w14:paraId="17F7F0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sz="0"/>
              <w:left w:val="nil" w:sz="0"/>
              <w:bottom w:val="single" w:color="000000" w:themeColor="text1" w:sz="12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2311EC7A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2025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年 </w:t>
            </w: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8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月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single" w:color="000000" w:themeColor="text1" w:sz="12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2E24116B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内部资金调拨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single" w:color="000000" w:themeColor="text1" w:sz="12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B349CBD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210</w:t>
            </w:r>
          </w:p>
        </w:tc>
        <w:tc>
          <w:tcPr>
            <w:tcW w:w="0" w:type="auto"/>
            <w:tcBorders>
              <w:top w:val="nil" w:sz="0"/>
              <w:left w:val="nil" w:sz="0"/>
              <w:bottom w:val="single" w:color="000000" w:themeColor="text1" w:sz="12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17625D84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内部账户周转调拨用途不明，资金流向及业务背景待核验</w:t>
            </w:r>
          </w:p>
        </w:tc>
      </w:tr>
    </w:tbl>
    <w:p w14:paraId="733E926E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color w:val="000000"/>
          <w:sz w:val="24"/>
          <w:szCs w:val="24"/>
          <w:lang w:val="en-US" w:eastAsia="zh-CN"/>
        </w:rPr>
      </w:pPr>
      <w:r>
        <w:rPr>
          <w:rFonts w:ascii="Times New Roman" w:hAnsi="Times New Roman" w:eastAsia="宋体"/>
          <w:b/>
          <w:sz w:val="24"/>
        </w:rPr>
        <w:t>（一）预付款提前支付</w:t>
      </w:r>
    </w:p>
    <w:p w14:paraId="111896B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left="0" w:right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大额资金无效占用项目启动阶段以锁定货源、开业铺货为由大额预付供应链款项，未严格执行合同 - 订单 - 入库 - 验收 - 付款闭环流程。部分款项在货物未交付、未验收前提下提前支付，后续到货批次、商品品类、结算发票未能及时闭环，造成账面预付款余额居高不下。 该问题直接挤占项目流动资金，影响门店日常补货、人员薪酬及营销活动投放，滞销商品叠加预付占用，进一步放大资金沉淀风险。</w:t>
      </w:r>
    </w:p>
    <w:p w14:paraId="3053B998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color w:val="000000"/>
          <w:sz w:val="24"/>
          <w:szCs w:val="24"/>
          <w:lang w:val="en-US" w:eastAsia="zh-CN"/>
        </w:rPr>
      </w:pPr>
      <w:r>
        <w:rPr>
          <w:rFonts w:ascii="Times New Roman" w:hAnsi="Times New Roman" w:eastAsia="宋体"/>
          <w:b/>
          <w:sz w:val="24"/>
        </w:rPr>
        <w:t>（二）线上平台收入回流滞后</w:t>
      </w:r>
    </w:p>
    <w:p w14:paraId="32D1BD5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left="0" w:right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长期挂账线上销售收入统一由嘉笔数字商贸代收，未按合作约定及时划转至项目主体账户。项目主体无法同步获取订单明细、退款记录、平台扣点及结算凭证，118 万元平台结算款形成长期往来挂账。 造成门店前端有实际销售业绩，但项目经营账户无实际现金流入，销售数据与现金流严重背离，误导采购规模、库存周转及盈利测算判断。</w:t>
      </w:r>
    </w:p>
    <w:p w14:paraId="7B697E4C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color w:val="000000"/>
          <w:sz w:val="24"/>
          <w:szCs w:val="24"/>
          <w:lang w:val="en-US" w:eastAsia="zh-CN"/>
        </w:rPr>
      </w:pPr>
      <w:r>
        <w:rPr>
          <w:rFonts w:ascii="Times New Roman" w:hAnsi="Times New Roman" w:eastAsia="宋体"/>
          <w:b/>
          <w:sz w:val="24"/>
        </w:rPr>
        <w:t>（三）运营服务费重复计费</w:t>
      </w:r>
    </w:p>
    <w:p w14:paraId="5E09DD14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费用边界混乱76 万元运营服务费存在双重计费问题，既列支固定管理服务费，又在订单服务、系统支持、促销协同科目重复分摊计费。未明确区分基础服务、增值服务、实际垫付及内部管理成本，导致项目成本虚高、利润核算失真。</w:t>
      </w:r>
    </w:p>
    <w:p w14:paraId="36BDFF29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color w:val="000000"/>
          <w:sz w:val="24"/>
          <w:szCs w:val="24"/>
          <w:lang w:val="en-US" w:eastAsia="zh-CN"/>
        </w:rPr>
      </w:pPr>
      <w:r>
        <w:rPr>
          <w:rFonts w:ascii="Times New Roman" w:hAnsi="Times New Roman" w:eastAsia="宋体"/>
          <w:b/>
          <w:sz w:val="24"/>
        </w:rPr>
        <w:t>（四）费用分摊及单据管理缺失</w:t>
      </w:r>
    </w:p>
    <w:p w14:paraId="1115F0B1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核查溯源困难物流代垫费、促销分摊费存在支撑资料不全、归属期间错位问题；采购、结算、费用审批、资金调拨等关键环节，部分回单、结算单、审批记录未同步归档。各方台账费用名称、金额口径、确认时间不统一，加大账务核对与责任追溯难度。</w:t>
      </w:r>
    </w:p>
    <w:p w14:paraId="56ADB2C6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color w:val="000000"/>
          <w:sz w:val="24"/>
          <w:szCs w:val="24"/>
          <w:lang w:val="en-US" w:eastAsia="zh-CN"/>
        </w:rPr>
      </w:pPr>
      <w:r>
        <w:rPr>
          <w:rFonts w:ascii="Times New Roman" w:hAnsi="Times New Roman" w:eastAsia="宋体"/>
          <w:b/>
          <w:sz w:val="24"/>
        </w:rPr>
        <w:t>（五）内部资金调拨用途不明</w:t>
      </w:r>
    </w:p>
    <w:p w14:paraId="4694872A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资金流向失控2025 年 8 月 210 万元内部账户资金调拨无完整业务说明、审批依据及用途佐证，内部周转缺乏书面授权及流程留痕，资金使用合规性、真实性待专项核验。</w:t>
      </w:r>
    </w:p>
    <w:p w14:paraId="31B47AF3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 w:before="120" w:after="80"/>
        <w:ind w:firstLineChars="200" w:firstLine="560"/>
        <w:jc w:val="both"/>
        <w:textAlignment w:val="auto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ascii="Times New Roman" w:hAnsi="Times New Roman" w:eastAsia="宋体"/>
          <w:b/>
          <w:sz w:val="28"/>
        </w:rPr>
        <w:t>四、业务执行流程偏离及成因分析</w:t>
      </w:r>
    </w:p>
    <w:p w14:paraId="008549E7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ascii="Times New Roman" w:hAnsi="Times New Roman" w:eastAsia="宋体"/>
          <w:b/>
          <w:sz w:val="24"/>
        </w:rPr>
        <w:t>（一）原约定标准流程合作初期约定实行月度对账制</w:t>
      </w:r>
    </w:p>
    <w:p w14:paraId="6E97E46E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运营方提采购计划→项目主体预算审核→供应链发货入库→门店销售记账→凭验收单、回款记录、发票资料统一结算付款，实现全业务闭环管控。</w:t>
      </w:r>
    </w:p>
    <w:p w14:paraId="0BE321A3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ascii="Times New Roman" w:hAnsi="Times New Roman" w:eastAsia="宋体"/>
          <w:b/>
          <w:sz w:val="24"/>
        </w:rPr>
        <w:t>（二）实际执行流程偏离</w:t>
      </w:r>
    </w:p>
    <w:p w14:paraId="6EE8F53F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采购付款前置化：未完成到货验收即提前付款，资金支出早于业务实质落地； 收款账户体外化：线上收入由第三方代收，脱离项目主体资金管控； 费用分摊随意化：无统一分摊规则及明细依据，重复列支、跨期列支频发； 资料归档碎片化：合同、订单、票据、审批单据未同步归档留存。</w:t>
      </w:r>
    </w:p>
    <w:p w14:paraId="2AA70BFC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ascii="Times New Roman" w:hAnsi="Times New Roman" w:eastAsia="宋体"/>
          <w:b/>
          <w:sz w:val="24"/>
        </w:rPr>
        <w:t>（三）核心成因</w:t>
      </w:r>
    </w:p>
    <w:p w14:paraId="4B95D055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多方合作主体职责交叉，未建立统一对账规则与结算标准； 资金审批管控机制不完善，预付款、代付款、资金调拨缺乏严格复核； 业务、财务、运营数据割裂，信息不同步，资金流向无法实时监控； 缺乏资金共管、固定结算周期等约束机制，第三方代收代付缺乏管控。</w:t>
      </w:r>
    </w:p>
    <w:p w14:paraId="31096521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 w:before="120" w:after="80"/>
        <w:ind w:firstLineChars="200" w:firstLine="560"/>
        <w:jc w:val="both"/>
        <w:textAlignment w:val="auto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ascii="Times New Roman" w:hAnsi="Times New Roman" w:eastAsia="宋体"/>
          <w:b/>
          <w:sz w:val="28"/>
        </w:rPr>
        <w:t>五、库存占用及现金流压力测算项目高库存叠加资金异常占用</w:t>
      </w:r>
    </w:p>
    <w:p w14:paraId="4686FB58">
      <w:pPr>
        <w:keepNext w:val="0"/>
        <w:keepLines w:val="0"/>
        <w:pageBreakBefore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leftChars="200" w:right="0" w:rightChars="0" w:firstLine="480" w:firstLineChars="20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形成持续性现金流承压，2025 年 6-11 月库存规模及资金需求如下：</w:t>
      </w:r>
    </w:p>
    <w:tbl>
      <w:tblPr>
        <w:tblW w:w="5000" w:type="pct"/>
        <w:jc w:val="center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62"/>
        <w:gridCol w:w="2087"/>
        <w:gridCol w:w="3046"/>
        <w:gridCol w:w="2651"/>
      </w:tblGrid>
      <w:tr w14:paraId="39C897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cantSplit/>
        </w:trPr>
        <w:tc>
          <w:tcPr>
            <w:tcW w:w="0" w:type="auto"/>
            <w:tcBorders>
              <w:top w:val="single" w:color="000000" w:themeColor="text1" w:sz="12" w:space="0"/>
              <w:left w:val="nil" w:sz="0"/>
              <w:bottom w:val="single" w:color="000000" w:sz="4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1713FC65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center"/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月份</w:t>
            </w:r>
          </w:p>
        </w:tc>
        <w:tc>
          <w:tcPr>
            <w:tcW w:w="1221" w:type="pct"/>
            <w:tcBorders>
              <w:top w:val="single" w:color="000000" w:themeColor="text1" w:sz="12" w:space="0"/>
              <w:left w:val="nil" w:sz="0"/>
              <w:bottom w:val="single" w:color="000000" w:sz="4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1D1F94E8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center"/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库存规模（万元）</w:t>
            </w:r>
          </w:p>
        </w:tc>
        <w:tc>
          <w:tcPr>
            <w:tcW w:w="1782" w:type="pct"/>
            <w:tcBorders>
              <w:top w:val="single" w:color="000000" w:themeColor="text1" w:sz="12" w:space="0"/>
              <w:left w:val="nil" w:sz="0"/>
              <w:bottom w:val="single" w:color="000000" w:sz="4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2A71E244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center"/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预计周转资金需求（万元）</w:t>
            </w:r>
          </w:p>
        </w:tc>
        <w:tc>
          <w:tcPr>
            <w:tcW w:w="1551" w:type="pct"/>
            <w:tcBorders>
              <w:top w:val="single" w:color="000000" w:themeColor="text1" w:sz="12" w:space="0"/>
              <w:left w:val="nil" w:sz="0"/>
              <w:bottom w:val="single" w:color="000000" w:sz="4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66AD2BA">
            <w:pPr>
              <w:keepNext w:val="0"/>
              <w:keepLines w:val="0"/>
              <w:widowControl/>
              <w:suppressLineNumbers w:val="0"/>
              <w:wordWrap/>
              <w:spacing w:before="0" w:after="0" w:lineRule="auto" w:line="240"/>
              <w:jc w:val="center"/>
              <w:rPr>
                <w:rFonts w:hint="default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风险说明</w:t>
            </w:r>
          </w:p>
        </w:tc>
      </w:tr>
      <w:tr w14:paraId="72A0A1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color="auto" w:sz="0" w:space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2DAE2FCD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6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月</w:t>
            </w:r>
          </w:p>
        </w:tc>
        <w:tc>
          <w:tcPr>
            <w:tcW w:w="1221" w:type="pct"/>
            <w:tcBorders>
              <w:top w:val="nil" w:color="auto" w:sz="0" w:space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3E4F1A2B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410</w:t>
            </w:r>
          </w:p>
        </w:tc>
        <w:tc>
          <w:tcPr>
            <w:tcW w:w="1782" w:type="pct"/>
            <w:tcBorders>
              <w:top w:val="nil" w:color="auto" w:sz="0" w:space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16D590C0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205</w:t>
            </w:r>
          </w:p>
        </w:tc>
        <w:tc>
          <w:tcPr>
            <w:tcW w:w="1551" w:type="pct"/>
            <w:tcBorders>
              <w:top w:val="nil" w:color="auto" w:sz="0" w:space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666EF434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开业备货偏高，商品周转低于预期</w:t>
            </w:r>
          </w:p>
        </w:tc>
      </w:tr>
      <w:tr w14:paraId="5B5FBB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3F124ED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7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月</w:t>
            </w:r>
          </w:p>
        </w:tc>
        <w:tc>
          <w:tcPr>
            <w:tcW w:w="1221" w:type="pct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3C9B29B0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395</w:t>
            </w:r>
          </w:p>
        </w:tc>
        <w:tc>
          <w:tcPr>
            <w:tcW w:w="1782" w:type="pct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49DD37F4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198</w:t>
            </w:r>
          </w:p>
        </w:tc>
        <w:tc>
          <w:tcPr>
            <w:tcW w:w="1551" w:type="pct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4CE3B811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库存微降，平台回款未足额归集</w:t>
            </w:r>
          </w:p>
        </w:tc>
      </w:tr>
      <w:tr w14:paraId="458B1A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1EF6DDE9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8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月</w:t>
            </w:r>
          </w:p>
        </w:tc>
        <w:tc>
          <w:tcPr>
            <w:tcW w:w="1221" w:type="pct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7FAE212B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382</w:t>
            </w:r>
          </w:p>
        </w:tc>
        <w:tc>
          <w:tcPr>
            <w:tcW w:w="1782" w:type="pct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2A898BA2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191</w:t>
            </w:r>
          </w:p>
        </w:tc>
        <w:tc>
          <w:tcPr>
            <w:tcW w:w="1551" w:type="pct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71D7FC7E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库存结构调整，滞销品资金占用突出</w:t>
            </w:r>
          </w:p>
        </w:tc>
      </w:tr>
      <w:tr w14:paraId="401295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648F395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9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 xml:space="preserve"> 月</w:t>
            </w:r>
          </w:p>
        </w:tc>
        <w:tc>
          <w:tcPr>
            <w:tcW w:w="1221" w:type="pct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33417CB0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401</w:t>
            </w:r>
          </w:p>
        </w:tc>
        <w:tc>
          <w:tcPr>
            <w:tcW w:w="1782" w:type="pct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18040C13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200</w:t>
            </w:r>
          </w:p>
        </w:tc>
        <w:tc>
          <w:tcPr>
            <w:tcW w:w="1551" w:type="pct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CBFCF70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节前备货增量，采购资金需求骤升</w:t>
            </w:r>
          </w:p>
        </w:tc>
      </w:tr>
      <w:tr w14:paraId="315D26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544CFA10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月</w:t>
            </w:r>
          </w:p>
        </w:tc>
        <w:tc>
          <w:tcPr>
            <w:tcW w:w="1221" w:type="pct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26C7619D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376</w:t>
            </w:r>
          </w:p>
        </w:tc>
        <w:tc>
          <w:tcPr>
            <w:tcW w:w="1782" w:type="pct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57646FF3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188</w:t>
            </w:r>
          </w:p>
        </w:tc>
        <w:tc>
          <w:tcPr>
            <w:tcW w:w="1551" w:type="pct"/>
            <w:tc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4A9196DF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促销后库存回落，费用结算未完成</w:t>
            </w:r>
          </w:p>
        </w:tc>
      </w:tr>
      <w:tr w14:paraId="16C661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nil" w:sz="0"/>
              <w:left w:val="nil" w:sz="0"/>
              <w:bottom w:val="single" w:color="000000" w:themeColor="text1" w:sz="12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11406C13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11</w:t>
            </w: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月</w:t>
            </w:r>
          </w:p>
        </w:tc>
        <w:tc>
          <w:tcPr>
            <w:tcW w:w="1221" w:type="pct"/>
            <w:tcBorders>
              <w:top w:val="nil" w:sz="0"/>
              <w:left w:val="nil" w:sz="0"/>
              <w:bottom w:val="single" w:color="000000" w:themeColor="text1" w:sz="12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71D3D9A1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358</w:t>
            </w:r>
          </w:p>
        </w:tc>
        <w:tc>
          <w:tcPr>
            <w:tcW w:w="1782" w:type="pct"/>
            <w:tcBorders>
              <w:top w:val="nil" w:sz="0"/>
              <w:left w:val="nil" w:sz="0"/>
              <w:bottom w:val="single" w:color="000000" w:themeColor="text1" w:sz="12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22219812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hint="default" w:ascii="Times New Roman" w:hAnsi="Times New Roman" w:cs="Times New Roman" w:eastAsia="宋体"/>
                <w:b w:val="0"/>
                <w:color w:val="000000"/>
                <w:sz w:val="24"/>
                <w:szCs w:val="24"/>
                <w:lang w:val="en-US" w:eastAsia="zh-CN"/>
              </w:rPr>
              <w:t>179</w:t>
            </w:r>
          </w:p>
        </w:tc>
        <w:tc>
          <w:tcPr>
            <w:tcW w:w="1551" w:type="pct"/>
            <w:tcBorders>
              <w:top w:val="nil" w:sz="0"/>
              <w:left w:val="nil" w:sz="0"/>
              <w:bottom w:val="single" w:color="000000" w:themeColor="text1" w:sz="12" w:space="0"/>
              <w:right w:val="nil" w:sz="0"/>
              <w:insideH w:val="nil" w:sz="0"/>
              <w:insideV w:val="nil" w:sz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shd w:val="clear" w:color="auto" w:fill="FFFFFF"/>
          </w:tcPr>
          <w:p w14:paraId="03215885">
            <w:pPr>
              <w:keepNext w:val="0"/>
              <w:keepLines w:val="0"/>
              <w:widowControl/>
              <w:suppressLineNumbers w:val="0"/>
              <w:spacing w:before="0" w:after="0" w:lineRule="auto" w:line="24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snapToGrid w:val="0"/>
            </w:pPr>
            <w:r>
              <w:rPr>
                <w:rFonts w:ascii="Times New Roman" w:hAnsi="Times New Roman" w:eastAsia="宋体" w:cs="宋体"/>
                <w:b w:val="0"/>
                <w:kern w:val="0"/>
                <w:sz w:val="24"/>
                <w:szCs w:val="24"/>
                <w:lang w:val="en-US" w:eastAsia="zh-CN" w:bidi="ar"/>
              </w:rPr>
              <w:t>库存压力缓解，应收挂账仍需清理</w:t>
            </w:r>
          </w:p>
        </w:tc>
      </w:tr>
    </w:tbl>
    <w:p w14:paraId="66AFA31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整体来看，项目库存虽呈缓慢下降趋势，但降幅远低于资金占用改善速度。叠加预付款占用、平台收入挂账、未结算费用列支，项目长期面临有销售业绩、无可用现金流的困境，日常补货、费用支付、经营周转均受到严重制约。</w:t>
      </w:r>
    </w:p>
    <w:p w14:paraId="57923998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 w:before="120" w:after="80"/>
        <w:ind w:firstLineChars="200" w:firstLine="560"/>
        <w:jc w:val="both"/>
        <w:textAlignment w:val="auto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ascii="Times New Roman" w:hAnsi="Times New Roman" w:eastAsia="宋体"/>
          <w:b/>
          <w:sz w:val="28"/>
        </w:rPr>
        <w:t>六、资金异常及现金流风险综合影响</w:t>
      </w:r>
    </w:p>
    <w:p w14:paraId="7FF8432A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left="0" w:right="0" w:firstLineChars="200" w:firstLine="480"/>
        <w:jc w:val="both"/>
        <w:textAlignment w:val="auto"/>
        <w:rPr>
          <w:rStyle w:val="7"/>
          <w:rFonts w:ascii="Times New Roman" w:hAnsi="Times New Roman" w:eastAsia="宋体" w:cs="Times New Roman"/>
          <w:b w:val="0"/>
          <w:bCs/>
          <w:color w:val="000000"/>
          <w:sz w:val="24"/>
          <w:szCs w:val="24"/>
        </w:rPr>
      </w:pPr>
      <w:r>
        <w:rPr>
          <w:rFonts w:ascii="Times New Roman" w:hAnsi="Times New Roman" w:eastAsia="宋体"/>
          <w:b w:val="0"/>
          <w:sz w:val="24"/>
        </w:rPr>
        <w:t>现金流风险：大额预付、收入滞留、资金调拨不明导致流动资金被无效占用，短期周转能力弱化，持续经营存在资金断流隐患；</w:t>
      </w:r>
    </w:p>
    <w:p w14:paraId="40565BF1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left="0" w:right="0" w:firstLineChars="200" w:firstLine="480"/>
        <w:jc w:val="both"/>
        <w:textAlignment w:val="auto"/>
        <w:rPr>
          <w:rStyle w:val="7"/>
          <w:rFonts w:ascii="Times New Roman" w:hAnsi="Times New Roman" w:eastAsia="宋体" w:cs="Times New Roman"/>
          <w:b w:val="0"/>
          <w:bCs/>
          <w:color w:val="000000"/>
          <w:sz w:val="24"/>
          <w:szCs w:val="24"/>
        </w:rPr>
      </w:pPr>
      <w:r>
        <w:rPr>
          <w:rFonts w:ascii="Times New Roman" w:hAnsi="Times New Roman" w:eastAsia="宋体"/>
          <w:b w:val="0"/>
          <w:sz w:val="24"/>
        </w:rPr>
        <w:t>经营核算风险：重复计费、跨期费用、收入滞后确认，造成成本虚高、利润失真，无法真实反映项目实际经营成果；</w:t>
      </w:r>
    </w:p>
    <w:p w14:paraId="7A4569A6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left="0" w:right="0" w:firstLineChars="200" w:firstLine="480"/>
        <w:jc w:val="both"/>
        <w:textAlignment w:val="auto"/>
        <w:rPr>
          <w:rStyle w:val="7"/>
          <w:rFonts w:ascii="Times New Roman" w:hAnsi="Times New Roman" w:eastAsia="宋体" w:cs="Times New Roman"/>
          <w:b w:val="0"/>
          <w:bCs/>
          <w:color w:val="000000"/>
          <w:sz w:val="24"/>
          <w:szCs w:val="24"/>
        </w:rPr>
      </w:pPr>
      <w:r>
        <w:rPr>
          <w:rFonts w:ascii="Times New Roman" w:hAnsi="Times New Roman" w:eastAsia="宋体"/>
          <w:b w:val="0"/>
          <w:sz w:val="24"/>
        </w:rPr>
        <w:t>合作协同风险：多方对账口径不一、资料缺失，易引发费用争议、收益分配纠纷，破坏合作稳定性；</w:t>
      </w:r>
    </w:p>
    <w:p w14:paraId="04469D63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left="0" w:right="0" w:firstLineChars="200" w:firstLine="480"/>
        <w:jc w:val="both"/>
        <w:textAlignment w:val="auto"/>
        <w:rPr>
          <w:rStyle w:val="7"/>
          <w:rFonts w:ascii="Times New Roman" w:hAnsi="Times New Roman" w:eastAsia="宋体" w:cs="Times New Roman"/>
          <w:b w:val="0"/>
          <w:bCs/>
          <w:color w:val="000000"/>
          <w:sz w:val="24"/>
          <w:szCs w:val="24"/>
        </w:rPr>
      </w:pPr>
      <w:r>
        <w:rPr>
          <w:rFonts w:ascii="Times New Roman" w:hAnsi="Times New Roman" w:eastAsia="宋体"/>
          <w:b w:val="0"/>
          <w:sz w:val="24"/>
        </w:rPr>
        <w:t>合规审计风险：资金支付审批依据不足、单据留痕缺失、体外代收资金，后续审计、账务调整及外部核查存在合规隐患。</w:t>
      </w:r>
    </w:p>
    <w:p w14:paraId="1596AA4F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 w:before="120" w:after="80"/>
        <w:ind w:firstLineChars="200" w:firstLine="560"/>
        <w:jc w:val="both"/>
        <w:textAlignment w:val="auto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ascii="Times New Roman" w:hAnsi="Times New Roman" w:eastAsia="宋体"/>
          <w:b/>
          <w:sz w:val="28"/>
        </w:rPr>
        <w:t>七、专项核查整改及风险化解建议</w:t>
      </w:r>
    </w:p>
    <w:p w14:paraId="747724E3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ascii="Times New Roman" w:hAnsi="Times New Roman" w:eastAsia="宋体"/>
          <w:b/>
          <w:sz w:val="24"/>
        </w:rPr>
        <w:t>（一）全面梳理账务，逐笔核验资金往来</w:t>
      </w:r>
    </w:p>
    <w:p w14:paraId="720031E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对 2025 年 1-11 月 85 万开办款、320 万预付款、118 万平台挂账、76 万运营服务费、210 万资金调拨等大额资金逐笔建档，匹配合同、订单、入库单、发票、审批单据，完成全链条溯源核查。</w:t>
      </w:r>
    </w:p>
    <w:p w14:paraId="0C01EE35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ascii="Times New Roman" w:hAnsi="Times New Roman" w:eastAsia="宋体"/>
          <w:b/>
          <w:sz w:val="24"/>
        </w:rPr>
        <w:t>（二）规范平台结算，清收滞留挂账资金</w:t>
      </w:r>
    </w:p>
    <w:p w14:paraId="5495582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要求平台代运营方提供完整订单流水、退款明细、扣费凭证及结算台账，明确滞留款项金额及返还时限，建立固定月度结算机制，杜绝收入长期体外滞留。</w:t>
      </w:r>
    </w:p>
    <w:p w14:paraId="0B8BDCF7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ascii="Times New Roman" w:hAnsi="Times New Roman" w:eastAsia="宋体"/>
          <w:b/>
          <w:sz w:val="24"/>
        </w:rPr>
        <w:t>（三）重构费用科目，清理重复计费项目</w:t>
      </w:r>
    </w:p>
    <w:p w14:paraId="5237B95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对运营服务费、物流费、促销费、系统服务费开展重分类梳理，剔除重复计费、依据不足及跨期列支费用，明确各类服务收费边界与分摊标准。</w:t>
      </w:r>
    </w:p>
    <w:p w14:paraId="7A99D889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ascii="Times New Roman" w:hAnsi="Times New Roman" w:eastAsia="宋体"/>
          <w:b/>
          <w:sz w:val="24"/>
        </w:rPr>
        <w:t>（四）建立资金管控机制，实行账户共管</w:t>
      </w:r>
    </w:p>
    <w:p w14:paraId="4C555CB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设立项目专用收支共管账户，统一归集线上线下全部营业收入；严格管控预付款、代付款、内部资金调拨，实行书面申请、预算审核、双人复核审批制度。</w:t>
      </w:r>
    </w:p>
    <w:p w14:paraId="5201E485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ascii="Times New Roman" w:hAnsi="Times New Roman" w:eastAsia="宋体"/>
          <w:b/>
          <w:sz w:val="24"/>
        </w:rPr>
        <w:t>（五）完善业务流程及资料归档</w:t>
      </w:r>
    </w:p>
    <w:p w14:paraId="30AA2C4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恢复订单 - 入库 - 销售 - 回款 - 发票闭环流程，严禁无依据提前付款；统一各方对账口径、费用核算标准；所有业务单据、审批文件、结算凭证同步归档留存。</w:t>
      </w:r>
    </w:p>
    <w:p w14:paraId="008F317B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120" w:beforeAutospacing="0" w:after="80" w:afterAutospacing="0" w:line="360" w:lineRule="auto"/>
        <w:ind w:left="0" w:right="0" w:firstLineChars="200" w:firstLine="48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ascii="Times New Roman" w:hAnsi="Times New Roman" w:eastAsia="宋体"/>
          <w:b/>
          <w:sz w:val="24"/>
        </w:rPr>
        <w:t>（六）盘活库存及应收，缓解现金流压力</w:t>
      </w:r>
    </w:p>
    <w:p w14:paraId="231E88B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梳理滞销库存制定清库促销方案，加快存货周转；专项清理平台挂账、预付款项、待分摊费用，通过账务调整、款项追偿、费用抵扣等方式盘活沉淀资金。</w:t>
      </w:r>
    </w:p>
    <w:p w14:paraId="5B4E579D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 w:before="120" w:after="80"/>
        <w:ind w:firstLineChars="200" w:firstLine="560"/>
        <w:jc w:val="both"/>
        <w:textAlignment w:val="auto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ascii="Times New Roman" w:hAnsi="Times New Roman" w:eastAsia="宋体"/>
          <w:b/>
          <w:sz w:val="28"/>
        </w:rPr>
        <w:t>八、核查结论</w:t>
      </w:r>
    </w:p>
    <w:p w14:paraId="4B2F81B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经专项核查，华中区域零售项目存在预付款违规前置、平台收入回流滞后、服务费重复计费、费用分摊无依据、内部资金调拨不明、业务资料留存缺失多项资金异常问题。受上述问题叠加影响，项目库存与资金占用偏高，现金流持续承压，经营核算失真，已形成实质性经营风险与合规风险。</w:t>
      </w:r>
    </w:p>
    <w:p w14:paraId="0699F15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80" w:afterAutospacing="0" w:line="360" w:lineRule="auto"/>
        <w:ind w:right="0" w:rightChars="0" w:firstLineChars="200" w:firstLine="480"/>
        <w:jc w:val="both"/>
        <w:textAlignment w:val="auto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/>
          <w:b w:val="0"/>
          <w:sz w:val="24"/>
        </w:rPr>
        <w:t>建议立即落实账务核查、挂账清收、费用清理、流程重构及资金共管措施，补齐原始凭证及审批留痕资料；对无法提供合理业务依据的异常款项，纳入专项追偿核查，同步完善长效管控机制，防范后续同类资金异常及现金流风险再度发生。</w:t>
      </w:r>
    </w:p>
    <w:p w14:paraId="45A12D6F">
      <w:pPr>
        <w:spacing w:before="0" w:after="0" w:lineRule="auto" w:line="240"/>
        <w:jc w:val="right"/>
        <w:rPr>
          <w:rFonts w:hint="eastAsia"/>
          <w:b/>
          <w:bCs/>
          <w:sz w:val="28"/>
          <w:szCs w:val="28"/>
          <w:lang w:val="en-US" w:eastAsia="zh-CN"/>
        </w:rPr>
        <w:snapToGrid w:val="0"/>
      </w:pPr>
      <w:r>
        <w:rPr>
          <w:rFonts w:ascii="Calibri" w:hAnsi="Calibri" w:eastAsia="宋体"/>
          <w:b/>
          <w:sz w:val="28"/>
        </w:rPr>
        <w:t>核查编制人：</w:t>
      </w:r>
      <w:r>
        <w:rPr>
          <w:rFonts w:ascii="Times New Roman" w:hAnsi="Times New Roman" w:eastAsia="宋体"/>
          <w:b/>
          <w:sz w:val="28"/>
        </w:rPr>
        <w:t>林远芝</w:t>
      </w:r>
    </w:p>
    <w:p w14:paraId="3370E288">
      <w:pPr>
        <w:spacing w:before="0" w:after="0" w:lineRule="auto" w:line="240"/>
        <w:jc w:val="right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snapToGrid w:val="0"/>
      </w:pPr>
      <w:r>
        <w:rPr>
          <w:rFonts w:ascii="Calibri" w:hAnsi="Calibri" w:eastAsia="宋体"/>
          <w:b/>
          <w:sz w:val="28"/>
        </w:rPr>
        <w:t>编制日期：</w:t>
      </w:r>
      <w:r>
        <w:rPr>
          <w:rFonts w:ascii="Calibri" w:hAnsi="Calibri" w:eastAsia="宋体"/>
          <w:b/>
          <w:sz w:val="28"/>
        </w:rPr>
        <w:t>2026年5月20日</w:t>
      </w:r>
    </w:p>
    <w:sectPr>
      <w:pgSz w:w="11906" w:h="16838"/>
      <w:pgMar w:top="1417" w:right="1587" w:bottom="1247" w:left="1587" w:header="851" w:footer="992" w:gutter="0"/>
      <w:pgBorders w:offsetFrom="page"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7BF45B"/>
    <w:multiLevelType w:val="multilevel"/>
    <w:tmpl w:val="CD7BF45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099B11B0"/>
    <w:multiLevelType w:val="multilevel"/>
    <w:tmpl w:val="099B11B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4F37D9"/>
    <w:rsid w:val="794F3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Pages>6</Pages>
  <Words>0</Words>
  <Characters>0</Characters>
  <Lines>0</Lines>
  <Paragraphs>0</Paragraphs>
  <TotalTime>33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华中区域零售项目财务资金异常、库存占用及现金流风险专项核查材料</dc:title>
  <dc:subject>华中区域零售项目资金与现金流专项核查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