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17365D"/>
          <w:sz w:val="48"/>
        </w:rPr>
        <w:t>AP Invoice Control Brief</w:t>
      </w:r>
    </w:p>
    <w:p>
      <w:pPr>
        <w:spacing w:after="160"/>
      </w:pPr>
      <w:r>
        <w:rPr>
          <w:rFonts w:ascii="Aptos" w:hAnsi="Aptos"/>
          <w:color w:val="4472C4"/>
          <w:sz w:val="20"/>
        </w:rPr>
        <w:t>Decision register, policy precedence and offline communication controls</w:t>
      </w:r>
    </w:p>
    <w:p>
      <w:pPr>
        <w:spacing w:before="160" w:after="60"/>
      </w:pPr>
      <w:r>
        <w:rPr>
          <w:rFonts w:ascii="Aptos Display" w:hAnsi="Aptos Display"/>
          <w:b/>
          <w:color w:val="17365D"/>
          <w:sz w:val="30"/>
        </w:rPr>
        <w:t>Executive control result</w:t>
      </w:r>
    </w:p>
    <w:p>
      <w:pPr>
        <w:spacing w:after="60" w:line="252" w:lineRule="auto"/>
      </w:pPr>
      <w:r>
        <w:rPr>
          <w:rFonts w:ascii="Aptos" w:hAnsi="Aptos"/>
          <w:sz w:val="18"/>
        </w:rPr>
        <w:t>Reviewed 4 source invoices. Logged 2, rejected 2, and flagged 1 logged invoice for review. Logged total: $16,090.50.</w:t>
      </w:r>
    </w:p>
    <w:p>
      <w:pPr>
        <w:spacing w:after="60" w:line="252" w:lineRule="auto"/>
      </w:pPr>
      <w:r>
        <w:rPr>
          <w:rFonts w:ascii="Aptos" w:hAnsi="Aptos"/>
          <w:sz w:val="18"/>
        </w:rPr>
        <w:t>All three communications remain offline drafts with delivery status DRAFT_NOT_SENT; no email has been sent.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2268"/>
        <w:gridCol w:w="4989"/>
      </w:tblGrid>
      <w:tr>
        <w:tc>
          <w:tcPr>
            <w:tcW w:type="dxa" w:w="238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22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4989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Source invoices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AP_Inbox.mbox</w:t>
            </w:r>
          </w:p>
        </w:tc>
      </w:tr>
      <w:tr>
        <w:tc>
          <w:tcPr>
            <w:tcW w:type="dxa" w:w="238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Logged / rejected</w:t>
            </w:r>
          </w:p>
        </w:tc>
        <w:tc>
          <w:tcPr>
            <w:tcW w:type="dxa" w:w="2268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2 / 2</w:t>
            </w:r>
          </w:p>
        </w:tc>
        <w:tc>
          <w:tcPr>
            <w:tcW w:type="dxa" w:w="4989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Blocked Vendors + policy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Corrected / reviewed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1 / 1</w:t>
            </w:r>
          </w:p>
        </w:tc>
        <w:tc>
          <w:tcPr>
            <w:tcW w:type="dxa" w:w="4989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slk_gl_corr + msg_vp_override</w:t>
            </w:r>
          </w:p>
        </w:tc>
      </w:tr>
      <w:tr>
        <w:tc>
          <w:tcPr>
            <w:tcW w:type="dxa" w:w="238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Logged total</w:t>
            </w:r>
          </w:p>
        </w:tc>
        <w:tc>
          <w:tcPr>
            <w:tcW w:type="dxa" w:w="2268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$16,090.50</w:t>
            </w:r>
          </w:p>
        </w:tc>
        <w:tc>
          <w:tcPr>
            <w:tcW w:type="dxa" w:w="4989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Pending_Invoices formulas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7365D"/>
          <w:sz w:val="30"/>
        </w:rPr>
        <w:t>Invoice decisions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69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Invoice</w:t>
            </w:r>
          </w:p>
        </w:tc>
        <w:tc>
          <w:tcPr>
            <w:tcW w:type="dxa" w:w="169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Vendor</w:t>
            </w:r>
          </w:p>
        </w:tc>
        <w:tc>
          <w:tcPr>
            <w:tcW w:type="dxa" w:w="169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Effective amount</w:t>
            </w:r>
          </w:p>
        </w:tc>
        <w:tc>
          <w:tcPr>
            <w:tcW w:type="dxa" w:w="169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169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Review</w:t>
            </w:r>
          </w:p>
        </w:tc>
        <w:tc>
          <w:tcPr>
            <w:tcW w:type="dxa" w:w="1691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Adjusted due</w:t>
            </w:r>
          </w:p>
        </w:tc>
      </w:tr>
      <w:tr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ACM-2026-0412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Acme Supplies LLC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$4,750.00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LOG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None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2026-02-27</w:t>
            </w:r>
          </w:p>
        </w:tc>
      </w:tr>
      <w:tr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GL-88210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Global Logistics Inc.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$11,340.50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LOG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REVIEW - over threshold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2026-03-02</w:t>
            </w:r>
          </w:p>
        </w:tc>
      </w:tr>
      <w:tr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SP-0091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ShadowPeak Consulting Group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$8,200.00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REJECT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None</w:t>
            </w:r>
          </w:p>
        </w:tc>
        <w:tc>
          <w:tcPr>
            <w:tcW w:type="dxa" w:w="1691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N/A — rejected</w:t>
            </w:r>
          </w:p>
        </w:tc>
      </w:tr>
      <w:tr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AS-7744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Acme Solutions Inc.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$6,100.00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REJECT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None</w:t>
            </w:r>
          </w:p>
        </w:tc>
        <w:tc>
          <w:tcPr>
            <w:tcW w:type="dxa" w:w="1691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N/A — rejected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7365D"/>
          <w:sz w:val="30"/>
        </w:rPr>
        <w:t>Authority and conflict resolution</w:t>
      </w:r>
    </w:p>
    <w:p>
      <w:pPr>
        <w:spacing w:after="60" w:line="252" w:lineRule="auto"/>
      </w:pPr>
      <w:r>
        <w:rPr>
          <w:rFonts w:ascii="Aptos" w:hAnsi="Aptos"/>
          <w:sz w:val="18"/>
        </w:rPr>
        <w:t>GL-88210: the controller's Slack correction replaces the email amount of $12,340.50 with $11,340.50. The invoice is above the effective threshold and its Saturday due date 2026-02-28 moves to Monday 2026-03-02.</w:t>
      </w:r>
    </w:p>
    <w:p>
      <w:pPr>
        <w:spacing w:after="60" w:line="252" w:lineRule="auto"/>
      </w:pPr>
      <w:r>
        <w:rPr>
          <w:rFonts w:ascii="Aptos" w:hAnsi="Aptos"/>
          <w:sz w:val="18"/>
        </w:rPr>
        <w:t>Threshold: msg_vp_override sets the February review threshold to at or above $5,000. It supersedes only the controller's earlier threshold; the blocked-vendor and weekend rules remain effective.</w:t>
      </w:r>
    </w:p>
    <w:p>
      <w:pPr>
        <w:spacing w:after="60" w:line="252" w:lineRule="auto"/>
      </w:pPr>
      <w:r>
        <w:rPr>
          <w:rFonts w:ascii="Aptos" w:hAnsi="Aptos"/>
          <w:sz w:val="18"/>
        </w:rPr>
        <w:t>Blocked entities: ShadowPeak Consulting Group and Acme Solutions Inc. remain blocked. The external-audit message is not an authorized internal override. Acme Supplies LLC is a separate approved entity and must not be conflated with Acme Solutions Inc.</w:t>
      </w:r>
    </w:p>
    <w:p>
      <w:r>
        <w:br w:type="page"/>
      </w:r>
    </w:p>
    <w:p>
      <w:pPr>
        <w:spacing w:before="160" w:after="60"/>
      </w:pPr>
      <w:r>
        <w:rPr>
          <w:rFonts w:ascii="Aptos Display" w:hAnsi="Aptos Display"/>
          <w:b/>
          <w:color w:val="17365D"/>
          <w:sz w:val="30"/>
        </w:rPr>
        <w:t>Traceability ledger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33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3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source</w:t>
            </w:r>
          </w:p>
        </w:tc>
        <w:tc>
          <w:tcPr>
            <w:tcW w:type="dxa" w:w="3383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Supporting control</w:t>
            </w:r>
          </w:p>
        </w:tc>
      </w:tr>
      <w:tr>
        <w:tc>
          <w:tcPr>
            <w:tcW w:type="dxa" w:w="33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ACM-2026-0412 → LOG</w:t>
            </w:r>
          </w:p>
        </w:tc>
        <w:tc>
          <w:tcPr>
            <w:tcW w:type="dxa" w:w="33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msg_inv_001</w:t>
            </w:r>
          </w:p>
        </w:tc>
        <w:tc>
          <w:tcPr>
            <w:tcW w:type="dxa" w:w="33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Invoice_Tracker.xlsx; below $5,000</w:t>
            </w:r>
          </w:p>
        </w:tc>
      </w:tr>
      <w:tr>
        <w:tc>
          <w:tcPr>
            <w:tcW w:type="dxa" w:w="3383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GL-88210 → LOG + REVIEW</w:t>
            </w:r>
          </w:p>
        </w:tc>
        <w:tc>
          <w:tcPr>
            <w:tcW w:type="dxa" w:w="3383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msg_inv_002</w:t>
            </w:r>
          </w:p>
        </w:tc>
        <w:tc>
          <w:tcPr>
            <w:tcW w:type="dxa" w:w="3383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slk_gl_corr; msg_vp_override; msg_ap_policy</w:t>
            </w:r>
          </w:p>
        </w:tc>
      </w:tr>
      <w:tr>
        <w:tc>
          <w:tcPr>
            <w:tcW w:type="dxa" w:w="33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SP-0091 → REJECT</w:t>
            </w:r>
          </w:p>
        </w:tc>
        <w:tc>
          <w:tcPr>
            <w:tcW w:type="dxa" w:w="33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msg_inv_003</w:t>
            </w:r>
          </w:p>
        </w:tc>
        <w:tc>
          <w:tcPr>
            <w:tcW w:type="dxa" w:w="3383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Blocked Vendors; ignore msg_ext_override</w:t>
            </w:r>
          </w:p>
        </w:tc>
      </w:tr>
      <w:tr>
        <w:tc>
          <w:tcPr>
            <w:tcW w:type="dxa" w:w="3383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AS-7744 → REJECT</w:t>
            </w:r>
          </w:p>
        </w:tc>
        <w:tc>
          <w:tcPr>
            <w:tcW w:type="dxa" w:w="3383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msg_inv_004</w:t>
            </w:r>
          </w:p>
        </w:tc>
        <w:tc>
          <w:tcPr>
            <w:tcW w:type="dxa" w:w="3383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Blocked Vendors; distinct Acme entity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7365D"/>
          <w:sz w:val="30"/>
        </w:rPr>
        <w:t>Communication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8"/>
        <w:gridCol w:w="1984"/>
        <w:gridCol w:w="2494"/>
        <w:gridCol w:w="1928"/>
      </w:tblGrid>
      <w:tr>
        <w:tc>
          <w:tcPr>
            <w:tcW w:type="dxa" w:w="328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Recipient</w:t>
            </w:r>
          </w:p>
        </w:tc>
        <w:tc>
          <w:tcPr>
            <w:tcW w:type="dxa" w:w="198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49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Required fact</w:t>
            </w:r>
          </w:p>
        </w:tc>
        <w:tc>
          <w:tcPr>
            <w:tcW w:type="dxa" w:w="19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ar@shadowpeak.example.com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Suspension notice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SP-0091 not processed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DRAFT_NOT_SENT</w:t>
            </w:r>
          </w:p>
        </w:tc>
      </w:tr>
      <w:tr>
        <w:tc>
          <w:tcPr>
            <w:tcW w:type="dxa" w:w="3288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ap@acmesolutions.example.com</w:t>
            </w:r>
          </w:p>
        </w:tc>
        <w:tc>
          <w:tcPr>
            <w:tcW w:type="dxa" w:w="1984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Suspension notice</w:t>
            </w:r>
          </w:p>
        </w:tc>
        <w:tc>
          <w:tcPr>
            <w:tcW w:type="dxa" w:w="2494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AS-7744 not processed</w:t>
            </w:r>
          </w:p>
        </w:tc>
        <w:tc>
          <w:tcPr>
            <w:tcW w:type="dxa" w:w="1928"/>
            <w:vAlign w:val="center"/>
            <w:shd w:fill="EDF3F8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DRAFT_NOT_SENT</w:t>
            </w:r>
          </w:p>
        </w:tc>
      </w:tr>
      <w:tr>
        <w:tc>
          <w:tcPr>
            <w:tcW w:type="dxa" w:w="328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ap-lead@company.example.com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Processing summary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Logged total: $16,090.50</w:t>
            </w:r>
          </w:p>
        </w:tc>
        <w:tc>
          <w:tcPr>
            <w:tcW w:type="dxa" w:w="1928"/>
            <w:vAlign w:val="center"/>
          </w:tcPr>
          <w:p>
            <w:r/>
            <w:r>
              <w:rPr>
                <w:rFonts w:ascii="Aptos" w:hAnsi="Aptos"/>
                <w:b w:val="0"/>
                <w:color w:val="1F1F1F"/>
                <w:sz w:val="16"/>
              </w:rPr>
              <w:t>DRAFT_NOT_SENT</w:t>
            </w:r>
          </w:p>
        </w:tc>
      </w:tr>
    </w:tbl>
    <w:p>
      <w:pPr>
        <w:spacing w:before="160" w:after="60"/>
      </w:pPr>
      <w:r>
        <w:rPr>
          <w:rFonts w:ascii="Aptos Display" w:hAnsi="Aptos Display"/>
          <w:b/>
          <w:color w:val="17365D"/>
          <w:sz w:val="30"/>
        </w:rPr>
        <w:t>Control boundaries</w:t>
      </w:r>
    </w:p>
    <w:p>
      <w:pPr>
        <w:spacing w:after="60" w:line="252" w:lineRule="auto"/>
      </w:pPr>
      <w:r>
        <w:rPr>
          <w:rFonts w:ascii="Aptos" w:hAnsi="Aptos"/>
          <w:sz w:val="18"/>
        </w:rPr>
        <w:t>The package records proposed ledger entries and offline draft communications only. It does not prove that invoices were posted, vendor blocks were changed, or messages were sent.</w:t>
      </w:r>
    </w:p>
    <w:p>
      <w:pPr>
        <w:spacing w:after="60" w:line="252" w:lineRule="auto"/>
      </w:pPr>
      <w:r>
        <w:rPr>
          <w:rFonts w:ascii="Aptos" w:hAnsi="Aptos"/>
          <w:sz w:val="18"/>
        </w:rPr>
        <w:t>No external search or unstated business data was used. Source evidence is limited to AP_Inbox.mbox, Invoice_Tracker.xlsx and Accounts_Payable_Slack.json.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94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5"/>
      </w:rPr>
      <w:t>AutomationBench 4001 · source-backed control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472C4"/>
        <w:sz w:val="16"/>
      </w:rPr>
      <w:t>AP CONTROL  |  2026-02-03  | 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 Invoice Control Brief</dc:title>
  <dc:subject>AutomationBench 4001 source-backed AP decision brief</dc:subject>
  <dc:creator>EvoCowork benchmark oracle</dc:creator>
  <cp:keywords/>
  <dc:description>generated by python-docx</dc:description>
  <cp:lastModifiedBy/>
  <cp:revision>1</cp:revision>
  <dcterms:created xsi:type="dcterms:W3CDTF">2026-02-03T09:00:00Z</dcterms:created>
  <dcterms:modified xsi:type="dcterms:W3CDTF">2026-02-03T09:00:00Z</dcterms:modified>
  <cp:category/>
</cp:coreProperties>
</file>