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Quarterly Salary Band Compliance Brief</w:t>
      </w:r>
    </w:p>
    <w:p>
      <w:pPr>
        <w:jc w:val="center"/>
      </w:pPr>
      <w:r>
        <w:t>As of 2026-03-15 · exact source amounts · offline only</w:t>
      </w:r>
    </w:p>
    <w:p>
      <w:pPr>
        <w:pStyle w:val="Heading1"/>
      </w:pPr>
      <w:r>
        <w:t>Compliance outcome</w:t>
      </w:r>
    </w:p>
    <w:p>
      <w:r>
        <w:t>Six employees were checked against their exact level bands. Three are outside range: Bob Chen is Over, Carol Diaz is Under, and Eve Liu is Over.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Salary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Band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Flag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Variance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Alice Park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IC3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155000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110000-160000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Within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Bob Chen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IC2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125000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80000-120000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Over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5000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Carol Diaz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IC3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108000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110000-160000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Under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-2000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Dave Kim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IC1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72000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55000-85000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Within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Eve Liu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IC4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215000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150000-210000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Over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5000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Lisa Wang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M1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148000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120000-170000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Within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Exact source amounts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Salary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Minimum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Maximum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Bob Chen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125000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80000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120000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Over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Carol Diaz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108000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110000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160000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Under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Eve Liu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215000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150000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210000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Over</w:t>
            </w:r>
          </w:p>
        </w:tc>
      </w:tr>
    </w:tbl>
    <w:p>
      <w:r>
        <w:t>Bob Chen: 125000 versus 80000-120000. Carol Diaz: 108000 versus 110000-160000. Eve Liu: 215000 versus 150000-210000. Amounts are preserved without rounding.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Prepared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Flag updates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DRAFT_NOT_APPLIED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Compensation report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Source rows updated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