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April Anniversary Recognition Control Brief</w:t>
      </w:r>
    </w:p>
    <w:p>
      <w:pPr>
        <w:jc w:val="center"/>
      </w:pPr>
      <w:r>
        <w:t>As of 2026-04-15 · latest data applied · offline only</w:t>
      </w:r>
    </w:p>
    <w:p>
      <w:pPr>
        <w:pStyle w:val="Heading1"/>
      </w:pPr>
      <w:r>
        <w:t>April recognition set</w:t>
      </w:r>
    </w:p>
    <w:p>
      <w:r>
        <w:t>Ten directory entries were reviewed using the latest evidence. Five active employees have valid effective April hire dates and belong in the all-staff recognition draft.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Employee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Effective hire date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Years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Angela Reeves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Engineering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2023-04-10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3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Ben Harrington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Sales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2021-04-22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5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Frank Torres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Engineering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2024-04-01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Grace Okonkwo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Sales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2024-04-18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Jake Morrison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Support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2022-04-30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4</w:t>
            </w:r>
          </w:p>
        </w:tc>
      </w:tr>
    </w:tbl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Correction and exclusions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Employee</w:t>
            </w:r>
          </w:p>
        </w:tc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Source issue</w:t>
            </w:r>
          </w:p>
        </w:tc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Frank Torres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Payroll corrected 2024-03-01 to 2024-04-01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INCLUDE: 2 years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Celine Dubois; Derek Huang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May / January dates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EXCLUDE_OTHER_MONTH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Eva Lindström; Henry Zhao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Blank / TBD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EXCLUDE_INVALID_DATE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Irene Kowalski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Inactive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EXCLUDE_INACTIVE</w:t>
            </w:r>
          </w:p>
        </w:tc>
      </w:tr>
    </w:tbl>
    <w:p>
      <w:r>
        <w:t>The payroll correction is newer than the directory row and therefore controls Frank Torres' effective date.</w:t>
      </w:r>
    </w:p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Communication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Drafts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Executed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All-staff recognition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Five celebrants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Executive CC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Suppressed by VP policy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Other messages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None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Real side effects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None</w:t>
            </w:r>
          </w:p>
        </w:tc>
      </w:tr>
    </w:tbl>
    <w:p>
      <w:r>
        <w:t>No email was sent. executives@company.example.com is not a recipient or Cc.</w:t>
      </w:r>
    </w:p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EvoCowork reference solution</dc:creator>
  <cp:keywords/>
  <dc:description>generated by python-docx</dc:description>
  <cp:lastModifiedBy/>
  <cp:revision>1</cp:revision>
  <dcterms:created xsi:type="dcterms:W3CDTF">2026-04-15T09:00:00Z</dcterms:created>
  <dcterms:modified xsi:type="dcterms:W3CDTF">2026-04-15T09:00:00Z</dcterms:modified>
  <cp:category/>
</cp:coreProperties>
</file>