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Annual Survey Distribution Control Brief</w:t>
      </w:r>
    </w:p>
    <w:p>
      <w:pPr>
        <w:jc w:val="center"/>
      </w:pPr>
      <w:r>
        <w:t>As of 2026-04-15 · exact-department override · offline only</w:t>
      </w:r>
    </w:p>
    <w:p>
      <w:pPr>
        <w:pStyle w:val="Heading1"/>
      </w:pPr>
      <w:r>
        <w:t>Distribution decision</w:t>
      </w:r>
    </w:p>
    <w:p>
      <w:r>
        <w:t>Six active full-time employees outside the exact Legal department are eligible. Five have deliverable email addresses; Elena Rossi remains an open delivery gap because IT has not provisioned her email.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fill="17365D"/>
          </w:tcPr>
          <w:p>
            <w:r>
              <w:rPr>
                <w:b/>
                <w:color w:val="FFFFFF"/>
                <w:sz w:val="16"/>
              </w:rPr>
              <w:t>Employee</w:t>
            </w:r>
          </w:p>
        </w:tc>
        <w:tc>
          <w:tcPr>
            <w:tcW w:type="dxa" w:w="3513"/>
            <w:shd w:fill="17365D"/>
          </w:tcPr>
          <w:p>
            <w:r>
              <w:rPr>
                <w:b/>
                <w:color w:val="FFFFFF"/>
                <w:sz w:val="16"/>
              </w:rPr>
              <w:t>Department</w:t>
            </w:r>
          </w:p>
        </w:tc>
        <w:tc>
          <w:tcPr>
            <w:tcW w:type="dxa" w:w="3513"/>
            <w:shd w:fill="17365D"/>
          </w:tcPr>
          <w:p>
            <w:r>
              <w:rPr>
                <w:b/>
                <w:color w:val="FFFFFF"/>
                <w:sz w:val="16"/>
              </w:rPr>
              <w:t>Decision</w:t>
            </w:r>
          </w:p>
        </w:tc>
      </w:tr>
      <w:tr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Anna Chen</w:t>
            </w:r>
          </w:p>
        </w:tc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Engineering</w:t>
            </w:r>
          </w:p>
        </w:tc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INVITATION_DRAFT</w:t>
            </w:r>
          </w:p>
        </w:tc>
      </w:tr>
      <w:tr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Boris Petrov</w:t>
            </w:r>
          </w:p>
        </w:tc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Legal</w:t>
            </w:r>
          </w:p>
        </w:tc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EXCLUDE_LEGAL_OVERRIDE</w:t>
            </w:r>
          </w:p>
        </w:tc>
      </w:tr>
      <w:tr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Clara Obi</w:t>
            </w:r>
          </w:p>
        </w:tc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Legal Operations</w:t>
            </w:r>
          </w:p>
        </w:tc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INVITATION_DRAFT</w:t>
            </w:r>
          </w:p>
        </w:tc>
      </w:tr>
      <w:tr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Derek Holm</w:t>
            </w:r>
          </w:p>
        </w:tc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Sales</w:t>
            </w:r>
          </w:p>
        </w:tc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INVITATION_DRAFT</w:t>
            </w:r>
          </w:p>
        </w:tc>
      </w:tr>
      <w:tr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Elena Rossi</w:t>
            </w:r>
          </w:p>
        </w:tc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Engineering</w:t>
            </w:r>
          </w:p>
        </w:tc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ELIGIBLE_EMAIL_MISSING</w:t>
            </w:r>
          </w:p>
        </w:tc>
      </w:tr>
      <w:tr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Faisal Khan</w:t>
            </w:r>
          </w:p>
        </w:tc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Legal</w:t>
            </w:r>
          </w:p>
        </w:tc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EXCLUDE_LEGAL_OVERRIDE</w:t>
            </w:r>
          </w:p>
        </w:tc>
      </w:tr>
      <w:tr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Grace Kim</w:t>
            </w:r>
          </w:p>
        </w:tc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Marketing</w:t>
            </w:r>
          </w:p>
        </w:tc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EXCLUDE_NON_FULL_TIME</w:t>
            </w:r>
          </w:p>
        </w:tc>
      </w:tr>
      <w:tr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Hugo Larsson</w:t>
            </w:r>
          </w:p>
        </w:tc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Engineering</w:t>
            </w:r>
          </w:p>
        </w:tc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EXCLUDE_ON_LEAVE</w:t>
            </w:r>
          </w:p>
        </w:tc>
      </w:tr>
      <w:tr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Iris Nakamura</w:t>
            </w:r>
          </w:p>
        </w:tc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Sales</w:t>
            </w:r>
          </w:p>
        </w:tc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INVITATION_DRAFT</w:t>
            </w:r>
          </w:p>
        </w:tc>
      </w:tr>
      <w:tr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Jake Morrison</w:t>
            </w:r>
          </w:p>
        </w:tc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Support</w:t>
            </w:r>
          </w:p>
        </w:tc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INVITATION_DRAFT</w:t>
            </w:r>
          </w:p>
        </w:tc>
      </w:tr>
    </w:tbl>
    <w:p>
      <w:pPr>
        <w:sectPr>
          <w:pgSz w:w="12240" w:h="15840"/>
          <w:pgMar w:top="794" w:right="850" w:bottom="794" w:left="850" w:header="720" w:footer="720" w:gutter="0"/>
          <w:cols w:space="720"/>
          <w:docGrid w:linePitch="360"/>
        </w:sectPr>
      </w:pPr>
    </w:p>
    <w:p>
      <w:pPr>
        <w:pStyle w:val="Heading1"/>
      </w:pPr>
      <w:r>
        <w:t>Policy precedence and decoys</w:t>
      </w:r>
    </w:p>
    <w:p>
      <w:r>
        <w:t>The CEO override excludes only the exact Legal department. Clara Obi in Legal Operations remains included. The external platform recommendation has no authority; Grace Kim is a contractor and Hugo Larsson is on leave.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fill="17365D"/>
          </w:tcPr>
          <w:p>
            <w:r>
              <w:rPr>
                <w:b/>
                <w:color w:val="FFFFFF"/>
                <w:sz w:val="16"/>
              </w:rPr>
              <w:t>Control</w:t>
            </w:r>
          </w:p>
        </w:tc>
        <w:tc>
          <w:tcPr>
            <w:tcW w:type="dxa" w:w="5270"/>
            <w:shd w:fill="17365D"/>
          </w:tcPr>
          <w:p>
            <w:r>
              <w:rPr>
                <w:b/>
                <w:color w:val="FFFFFF"/>
                <w:sz w:val="16"/>
              </w:rPr>
              <w:t>Result</w:t>
            </w:r>
          </w:p>
        </w:tc>
      </w:tr>
      <w:tr>
        <w:tc>
          <w:tcPr>
            <w:tcW w:type="dxa" w:w="5270"/>
            <w:vAlign w:val="top"/>
          </w:tcPr>
          <w:p>
            <w:r>
              <w:rPr>
                <w:rFonts w:ascii="Carlito" w:hAnsi="Carlito"/>
                <w:sz w:val="16"/>
              </w:rPr>
              <w:t>Exact Legal exclusion</w:t>
            </w:r>
          </w:p>
        </w:tc>
        <w:tc>
          <w:tcPr>
            <w:tcW w:type="dxa" w:w="5270"/>
            <w:vAlign w:val="top"/>
          </w:tcPr>
          <w:p>
            <w:r>
              <w:rPr>
                <w:rFonts w:ascii="Carlito" w:hAnsi="Carlito"/>
                <w:sz w:val="16"/>
              </w:rPr>
              <w:t>Boris Petrov; Faisal Khan</w:t>
            </w:r>
          </w:p>
        </w:tc>
      </w:tr>
      <w:tr>
        <w:tc>
          <w:tcPr>
            <w:tcW w:type="dxa" w:w="5270"/>
            <w:vAlign w:val="top"/>
          </w:tcPr>
          <w:p>
            <w:r>
              <w:rPr>
                <w:rFonts w:ascii="Carlito" w:hAnsi="Carlito"/>
                <w:sz w:val="16"/>
              </w:rPr>
              <w:t>Legal Operations inclusion</w:t>
            </w:r>
          </w:p>
        </w:tc>
        <w:tc>
          <w:tcPr>
            <w:tcW w:type="dxa" w:w="5270"/>
            <w:vAlign w:val="top"/>
          </w:tcPr>
          <w:p>
            <w:r>
              <w:rPr>
                <w:rFonts w:ascii="Carlito" w:hAnsi="Carlito"/>
                <w:sz w:val="16"/>
              </w:rPr>
              <w:t>Clara Obi</w:t>
            </w:r>
          </w:p>
        </w:tc>
      </w:tr>
      <w:tr>
        <w:tc>
          <w:tcPr>
            <w:tcW w:type="dxa" w:w="5270"/>
            <w:vAlign w:val="top"/>
          </w:tcPr>
          <w:p>
            <w:r>
              <w:rPr>
                <w:rFonts w:ascii="Carlito" w:hAnsi="Carlito"/>
                <w:sz w:val="16"/>
              </w:rPr>
              <w:t>Non-full-time exclusion</w:t>
            </w:r>
          </w:p>
        </w:tc>
        <w:tc>
          <w:tcPr>
            <w:tcW w:type="dxa" w:w="5270"/>
            <w:vAlign w:val="top"/>
          </w:tcPr>
          <w:p>
            <w:r>
              <w:rPr>
                <w:rFonts w:ascii="Carlito" w:hAnsi="Carlito"/>
                <w:sz w:val="16"/>
              </w:rPr>
              <w:t>Grace Kim</w:t>
            </w:r>
          </w:p>
        </w:tc>
      </w:tr>
      <w:tr>
        <w:tc>
          <w:tcPr>
            <w:tcW w:type="dxa" w:w="5270"/>
            <w:vAlign w:val="top"/>
          </w:tcPr>
          <w:p>
            <w:r>
              <w:rPr>
                <w:rFonts w:ascii="Carlito" w:hAnsi="Carlito"/>
                <w:sz w:val="16"/>
              </w:rPr>
              <w:t>Leave exclusion</w:t>
            </w:r>
          </w:p>
        </w:tc>
        <w:tc>
          <w:tcPr>
            <w:tcW w:type="dxa" w:w="5270"/>
            <w:vAlign w:val="top"/>
          </w:tcPr>
          <w:p>
            <w:r>
              <w:rPr>
                <w:rFonts w:ascii="Carlito" w:hAnsi="Carlito"/>
                <w:sz w:val="16"/>
              </w:rPr>
              <w:t>Hugo Larsson</w:t>
            </w:r>
          </w:p>
        </w:tc>
      </w:tr>
    </w:tbl>
    <w:p>
      <w:pPr>
        <w:sectPr>
          <w:pgSz w:w="12240" w:h="15840"/>
          <w:pgMar w:top="794" w:right="850" w:bottom="794" w:left="850" w:header="720" w:footer="720" w:gutter="0"/>
          <w:cols w:space="720"/>
          <w:docGrid w:linePitch="360"/>
        </w:sectPr>
      </w:pPr>
    </w:p>
    <w:p>
      <w:pPr>
        <w:pStyle w:val="Heading1"/>
      </w:pPr>
      <w:r>
        <w:t>Offline execution boundary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shd w:fill="17365D"/>
          </w:tcPr>
          <w:p>
            <w:r>
              <w:rPr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2635"/>
            <w:shd w:fill="17365D"/>
          </w:tcPr>
          <w:p>
            <w:r>
              <w:rPr>
                <w:b/>
                <w:color w:val="FFFFFF"/>
                <w:sz w:val="16"/>
              </w:rPr>
              <w:t>Prepared</w:t>
            </w:r>
          </w:p>
        </w:tc>
        <w:tc>
          <w:tcPr>
            <w:tcW w:type="dxa" w:w="2635"/>
            <w:shd w:fill="17365D"/>
          </w:tcPr>
          <w:p>
            <w:r>
              <w:rPr>
                <w:b/>
                <w:color w:val="FFFFFF"/>
                <w:sz w:val="16"/>
              </w:rPr>
              <w:t>Executed</w:t>
            </w:r>
          </w:p>
        </w:tc>
        <w:tc>
          <w:tcPr>
            <w:tcW w:type="dxa" w:w="2635"/>
            <w:shd w:fill="17365D"/>
          </w:tcPr>
          <w:p>
            <w:r>
              <w:rPr>
                <w:b/>
                <w:color w:val="FFFFFF"/>
                <w:sz w:val="16"/>
              </w:rPr>
              <w:t>State</w:t>
            </w:r>
          </w:p>
        </w:tc>
      </w:tr>
      <w:tr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Invitation email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5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0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DRAFT_NOT_SENT</w:t>
            </w:r>
          </w:p>
        </w:tc>
      </w:tr>
      <w:tr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All-hands announcement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1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0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DRAFT_NOT_POSTED</w:t>
            </w:r>
          </w:p>
        </w:tc>
      </w:tr>
      <w:tr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Delivery-gap record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1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0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OPEN_NOT_DELIVERED</w:t>
            </w:r>
          </w:p>
        </w:tc>
      </w:tr>
      <w:tr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Real side effects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0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0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NONE</w:t>
            </w:r>
          </w:p>
        </w:tc>
      </w:tr>
    </w:tbl>
    <w:sectPr w:rsidR="00FC693F" w:rsidRPr="0006063C" w:rsidSect="00034616">
      <w:pgSz w:w="12240" w:h="15840"/>
      <w:pgMar w:top="794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rlito" w:hAnsi="Carlito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EvoCowork reference solution</dc:creator>
  <cp:keywords/>
  <dc:description>generated by python-docx</dc:description>
  <cp:lastModifiedBy/>
  <cp:revision>1</cp:revision>
  <dcterms:created xsi:type="dcterms:W3CDTF">2026-04-15T09:00:00Z</dcterms:created>
  <dcterms:modified xsi:type="dcterms:W3CDTF">2026-04-15T09:00:00Z</dcterms:modified>
  <cp:category/>
</cp:coreProperties>
</file>