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sz w:val="54"/>
        </w:rPr>
        <w:t>Revenue Threshold Screening Report</w:t>
      </w:r>
    </w:p>
    <w:p>
      <w:r>
        <w:rPr>
          <w:rFonts w:ascii="Aptos" w:hAnsi="Aptos"/>
          <w:color w:val="168AAD"/>
          <w:sz w:val="20"/>
        </w:rPr>
        <w:t>2004–2023 revenue series  |  Threshold: $2.0 million  |  USD</w:t>
      </w:r>
    </w:p>
    <w:tbl>
      <w:tblPr>
        <w:tblW w:type="auto" w:w="0"/>
        <w:jc w:val="center"/>
        <w:tblLayout w:type="fixed"/>
        <w:tblLook w:firstColumn="1" w:firstRow="1" w:lastColumn="0" w:lastRow="0" w:noHBand="0" w:noVBand="1" w:val="04A0"/>
      </w:tblPr>
      <w:tblGrid>
        <w:gridCol w:w="2523"/>
        <w:gridCol w:w="2523"/>
        <w:gridCol w:w="2523"/>
        <w:gridCol w:w="2523"/>
      </w:tblGrid>
      <w:tr>
        <w:tc>
          <w:tcPr>
            <w:tcW w:type="dxa" w:w="255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Original years</w:t>
            </w:r>
          </w:p>
        </w:tc>
        <w:tc>
          <w:tcPr>
            <w:tcW w:type="dxa" w:w="255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Retained</w:t>
            </w:r>
          </w:p>
        </w:tc>
        <w:tc>
          <w:tcPr>
            <w:tcW w:type="dxa" w:w="255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Removed</w:t>
            </w:r>
          </w:p>
        </w:tc>
        <w:tc>
          <w:tcPr>
            <w:tcW w:type="dxa" w:w="2551"/>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Retention rate</w:t>
            </w:r>
          </w:p>
        </w:tc>
      </w:tr>
      <w:tr>
        <w:tc>
          <w:tcPr>
            <w:tcW w:type="dxa" w:w="2551"/>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w:t>
            </w:r>
          </w:p>
        </w:tc>
        <w:tc>
          <w:tcPr>
            <w:tcW w:type="dxa" w:w="2551"/>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17</w:t>
            </w:r>
          </w:p>
        </w:tc>
        <w:tc>
          <w:tcPr>
            <w:tcW w:type="dxa" w:w="2551"/>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3</w:t>
            </w:r>
          </w:p>
        </w:tc>
        <w:tc>
          <w:tcPr>
            <w:tcW w:type="dxa" w:w="2551"/>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85.00%</w:t>
            </w:r>
          </w:p>
        </w:tc>
      </w:tr>
    </w:tbl>
    <w:p>
      <w:pPr>
        <w:pStyle w:val="Heading1"/>
      </w:pPr>
      <w:r>
        <w:t>Screening Rule</w:t>
      </w:r>
    </w:p>
    <w:p>
      <w:r>
        <w:t>Years with revenue greater than or equal to $2,000,000 are retained. Years strictly below $2,000,000 are removed. The equality boundary is therefore included in the retained set.</w:t>
      </w:r>
    </w:p>
    <w:p>
      <w:pPr>
        <w:pStyle w:val="Heading1"/>
      </w:pPr>
      <w:r>
        <w:t>Executive Summary</w:t>
      </w:r>
    </w:p>
    <w:p>
      <w:r>
        <w:t>The source contains 20 annual observations. The screening retains 17 years and removes 3, producing an 85.00% retention rate. Retained revenue totals $56,172,635.00, with an average of $3,304,272.65.</w:t>
      </w:r>
    </w:p>
    <w:tbl>
      <w:tblPr>
        <w:tblW w:type="auto" w:w="0"/>
        <w:jc w:val="center"/>
        <w:tblLayout w:type="fixed"/>
        <w:tblLook w:firstColumn="1" w:firstRow="1" w:lastColumn="0" w:lastRow="0" w:noHBand="0" w:noVBand="1" w:val="04A0"/>
      </w:tblPr>
      <w:tblGrid>
        <w:gridCol w:w="5046"/>
        <w:gridCol w:w="5046"/>
      </w:tblGrid>
      <w:tr>
        <w:tc>
          <w:tcPr>
            <w:tcW w:type="dxa" w:w="4819"/>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Metric</w:t>
            </w:r>
          </w:p>
        </w:tc>
        <w:tc>
          <w:tcPr>
            <w:tcW w:type="dxa" w:w="5386"/>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Result</w:t>
            </w:r>
          </w:p>
        </w:tc>
      </w:tr>
      <w:tr>
        <w:tc>
          <w:tcPr>
            <w:tcW w:type="dxa" w:w="4819"/>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Retained total</w:t>
            </w:r>
          </w:p>
        </w:tc>
        <w:tc>
          <w:tcPr>
            <w:tcW w:type="dxa" w:w="5386"/>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$56,172,635.00</w:t>
            </w:r>
          </w:p>
        </w:tc>
      </w:tr>
      <w:tr>
        <w:tc>
          <w:tcPr>
            <w:tcW w:type="dxa" w:w="4819"/>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Retained average</w:t>
            </w:r>
          </w:p>
        </w:tc>
        <w:tc>
          <w:tcPr>
            <w:tcW w:type="dxa" w:w="5386"/>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$3,304,272.65</w:t>
            </w:r>
          </w:p>
        </w:tc>
      </w:tr>
      <w:tr>
        <w:tc>
          <w:tcPr>
            <w:tcW w:type="dxa" w:w="4819"/>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Highest retained year</w:t>
            </w:r>
          </w:p>
        </w:tc>
        <w:tc>
          <w:tcPr>
            <w:tcW w:type="dxa" w:w="5386"/>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2014 — $4,983,791.00</w:t>
            </w:r>
          </w:p>
        </w:tc>
      </w:tr>
      <w:tr>
        <w:tc>
          <w:tcPr>
            <w:tcW w:type="dxa" w:w="4819"/>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Lowest retained year</w:t>
            </w:r>
          </w:p>
        </w:tc>
        <w:tc>
          <w:tcPr>
            <w:tcW w:type="dxa" w:w="5386"/>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2021 — $2,005,820.00</w:t>
            </w:r>
          </w:p>
        </w:tc>
      </w:tr>
    </w:tbl>
    <w:p>
      <w:pPr>
        <w:sectPr>
          <w:footerReference w:type="default" r:id="rId9"/>
          <w:pgSz w:w="11906" w:h="16838"/>
          <w:pgMar w:top="879" w:right="907" w:bottom="879" w:left="907" w:header="720" w:footer="720" w:gutter="0"/>
          <w:cols w:space="720"/>
          <w:docGrid w:linePitch="360"/>
        </w:sectPr>
      </w:pPr>
    </w:p>
    <w:p>
      <w:pPr>
        <w:pStyle w:val="Heading1"/>
      </w:pPr>
      <w:r>
        <w:t>Removed Years</w:t>
      </w:r>
    </w:p>
    <w:tbl>
      <w:tblPr>
        <w:tblW w:type="auto" w:w="0"/>
        <w:jc w:val="center"/>
        <w:tblLayout w:type="fixed"/>
        <w:tblLook w:firstColumn="1" w:firstRow="1" w:lastColumn="0" w:lastRow="0" w:noHBand="0" w:noVBand="1" w:val="04A0"/>
      </w:tblPr>
      <w:tblGrid>
        <w:gridCol w:w="3364"/>
        <w:gridCol w:w="3364"/>
        <w:gridCol w:w="3364"/>
      </w:tblGrid>
      <w:tr>
        <w:tc>
          <w:tcPr>
            <w:tcW w:type="dxa" w:w="2268"/>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Year</w:t>
            </w:r>
          </w:p>
        </w:tc>
        <w:tc>
          <w:tcPr>
            <w:tcW w:type="dxa" w:w="3685"/>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Revenue</w:t>
            </w:r>
          </w:p>
        </w:tc>
        <w:tc>
          <w:tcPr>
            <w:tcW w:type="dxa" w:w="4252"/>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Shortfall to threshold</w:t>
            </w:r>
          </w:p>
        </w:tc>
      </w:tr>
      <w:tr>
        <w:tc>
          <w:tcPr>
            <w:tcW w:type="dxa" w:w="2268"/>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2006</w:t>
            </w:r>
          </w:p>
        </w:tc>
        <w:tc>
          <w:tcPr>
            <w:tcW w:type="dxa" w:w="3685"/>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$1,193,225.00</w:t>
            </w:r>
          </w:p>
        </w:tc>
        <w:tc>
          <w:tcPr>
            <w:tcW w:type="dxa" w:w="4252"/>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$806,775.00</w:t>
            </w:r>
          </w:p>
        </w:tc>
      </w:tr>
      <w:tr>
        <w:tc>
          <w:tcPr>
            <w:tcW w:type="dxa" w:w="2268"/>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2009</w:t>
            </w:r>
          </w:p>
        </w:tc>
        <w:tc>
          <w:tcPr>
            <w:tcW w:type="dxa" w:w="3685"/>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$1,791,112.00</w:t>
            </w:r>
          </w:p>
        </w:tc>
        <w:tc>
          <w:tcPr>
            <w:tcW w:type="dxa" w:w="4252"/>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$208,888.00</w:t>
            </w:r>
          </w:p>
        </w:tc>
      </w:tr>
      <w:tr>
        <w:tc>
          <w:tcPr>
            <w:tcW w:type="dxa" w:w="2268"/>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2017</w:t>
            </w:r>
          </w:p>
        </w:tc>
        <w:tc>
          <w:tcPr>
            <w:tcW w:type="dxa" w:w="3685"/>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$1,463,500.00</w:t>
            </w:r>
          </w:p>
        </w:tc>
        <w:tc>
          <w:tcPr>
            <w:tcW w:type="dxa" w:w="4252"/>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$536,500.00</w:t>
            </w:r>
          </w:p>
        </w:tc>
      </w:tr>
    </w:tbl>
    <w:p>
      <w:r>
        <w:t>The three removed years are 2006, 2009 and 2017. Their combined shortfall to the threshold is $1,552,163.00.</w:t>
      </w:r>
    </w:p>
    <w:p>
      <w:pPr>
        <w:pStyle w:val="Heading1"/>
      </w:pPr>
      <w:r>
        <w:t>Retained Revenue Findings</w:t>
      </w:r>
    </w:p>
    <w:p>
      <w:r>
        <w:t>The highest retained revenue is $4,983,791.00 in 2014. The lowest retained revenue is $2,005,820.00 in 2021.</w:t>
      </w:r>
    </w:p>
    <w:p>
      <w:r>
        <w:t>From the first retained observation (2004, $4,439,044.00) to the last retained observation (2023, $2,832,545.00), revenue changes by -$1,606,499.00 (-36.19%). This is an endpoint comparison, not a claim of a continuous trend.</w:t>
      </w:r>
    </w:p>
    <w:tbl>
      <w:tblPr>
        <w:tblW w:type="auto" w:w="0"/>
        <w:jc w:val="center"/>
        <w:tblLayout w:type="fixed"/>
        <w:tblLook w:firstColumn="1" w:firstRow="1" w:lastColumn="0" w:lastRow="0" w:noHBand="0" w:noVBand="1" w:val="04A0"/>
      </w:tblPr>
      <w:tblGrid>
        <w:gridCol w:w="3364"/>
        <w:gridCol w:w="3364"/>
        <w:gridCol w:w="3364"/>
      </w:tblGrid>
      <w:tr>
        <w:tc>
          <w:tcPr>
            <w:tcW w:type="dxa" w:w="2268"/>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Rank</w:t>
            </w:r>
          </w:p>
        </w:tc>
        <w:tc>
          <w:tcPr>
            <w:tcW w:type="dxa" w:w="3118"/>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Year</w:t>
            </w:r>
          </w:p>
        </w:tc>
        <w:tc>
          <w:tcPr>
            <w:tcW w:type="dxa" w:w="4819"/>
            <w:shd w:fill="17324D"/>
            <w:tcBorders>
              <w:top w:val="single" w:sz="6" w:color="17324D"/>
              <w:left w:val="single" w:sz="6" w:color="17324D"/>
              <w:bottom w:val="single" w:sz="6" w:color="17324D"/>
              <w:right w:val="single" w:sz="6" w:color="17324D"/>
            </w:tcBorders>
            <w:vAlign w:val="center"/>
          </w:tcPr>
          <w:p>
            <w:pPr>
              <w:spacing w:after="0"/>
            </w:pPr>
            <w:r>
              <w:rPr>
                <w:rFonts w:ascii="Aptos" w:hAnsi="Aptos"/>
                <w:b/>
                <w:color w:val="FFFFFF"/>
                <w:sz w:val="16"/>
              </w:rPr>
              <w:t>Revenue</w:t>
            </w:r>
          </w:p>
        </w:tc>
      </w:tr>
      <w:tr>
        <w:tc>
          <w:tcPr>
            <w:tcW w:type="dxa" w:w="2268"/>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1</w:t>
            </w:r>
          </w:p>
        </w:tc>
        <w:tc>
          <w:tcPr>
            <w:tcW w:type="dxa" w:w="3118"/>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2014</w:t>
            </w:r>
          </w:p>
        </w:tc>
        <w:tc>
          <w:tcPr>
            <w:tcW w:type="dxa" w:w="4819"/>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$4,983,791.00</w:t>
            </w:r>
          </w:p>
        </w:tc>
      </w:tr>
      <w:tr>
        <w:tc>
          <w:tcPr>
            <w:tcW w:type="dxa" w:w="2268"/>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w:t>
            </w:r>
          </w:p>
        </w:tc>
        <w:tc>
          <w:tcPr>
            <w:tcW w:type="dxa" w:w="3118"/>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2015</w:t>
            </w:r>
          </w:p>
        </w:tc>
        <w:tc>
          <w:tcPr>
            <w:tcW w:type="dxa" w:w="4819"/>
            <w:shd w:fill="F4F7FA"/>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$4,611,210.00</w:t>
            </w:r>
          </w:p>
        </w:tc>
      </w:tr>
      <w:tr>
        <w:tc>
          <w:tcPr>
            <w:tcW w:type="dxa" w:w="2268"/>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3</w:t>
            </w:r>
          </w:p>
        </w:tc>
        <w:tc>
          <w:tcPr>
            <w:tcW w:type="dxa" w:w="3118"/>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2004</w:t>
            </w:r>
          </w:p>
        </w:tc>
        <w:tc>
          <w:tcPr>
            <w:tcW w:type="dxa" w:w="4819"/>
            <w:shd w:fill="FFFFFF"/>
            <w:tcBorders>
              <w:top w:val="single" w:sz="6" w:color="CCD8E2"/>
              <w:left w:val="single" w:sz="6" w:color="CCD8E2"/>
              <w:bottom w:val="single" w:sz="6" w:color="CCD8E2"/>
              <w:right w:val="single" w:sz="6" w:color="CCD8E2"/>
            </w:tcBorders>
            <w:vAlign w:val="center"/>
          </w:tcPr>
          <w:p>
            <w:pPr>
              <w:spacing w:before="0" w:after="0"/>
            </w:pPr>
            <w:r>
              <w:rPr>
                <w:rFonts w:ascii="Aptos" w:hAnsi="Aptos"/>
                <w:color w:val="17324D"/>
                <w:sz w:val="16"/>
              </w:rPr>
              <w:t>$4,439,044.00</w:t>
            </w:r>
          </w:p>
        </w:tc>
      </w:tr>
    </w:tbl>
    <w:p>
      <w:pPr>
        <w:pStyle w:val="Heading1"/>
      </w:pPr>
      <w:r>
        <w:t>Evidence Boundary</w:t>
      </w:r>
    </w:p>
    <w:p>
      <w:r>
        <w:t>All calculations use only company_revenues.xlsx. The source supplies annual revenue values but no information about inflation, market conditions, products, costs, profit, management actions or forecasts. The report therefore describes the observed values and threshold result without assigning causes or predicting future performance.</w:t>
      </w:r>
    </w:p>
    <w:sectPr w:rsidR="00FC693F" w:rsidRPr="0006063C" w:rsidSect="00034616">
      <w:pgSz w:w="11906" w:h="16838"/>
      <w:pgMar w:top="879" w:right="907" w:bottom="879"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07080"/>
        <w:sz w:val="16"/>
      </w:rPr>
      <w:t xml:space="preserve">Revenue screening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Threshold Screening Report</dc:title>
  <dc:subject/>
  <dc:creator>python-docx</dc:creator>
  <cp:keywords/>
  <dc:description>generated by python-docx</dc:description>
  <cp:lastModifiedBy/>
  <cp:revision>1</cp:revision>
  <dcterms:created xsi:type="dcterms:W3CDTF">2026-09-01T05:45:00Z</dcterms:created>
  <dcterms:modified xsi:type="dcterms:W3CDTF">2026-09-01T05:45:00Z</dcterms:modified>
  <cp:category/>
</cp:coreProperties>
</file>