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Café Profile — Approved Copy Ticket</w:t>
      </w:r>
    </w:p>
    <w:p>
      <w:pPr>
        <w:pStyle w:val="EvidenceNote"/>
      </w:pPr>
      <w:r>
        <w:t>Ticket CP-016. Apply only the five approved sentence replacements below. The approved text may reorganize source wording but may not add proper nouns, dates, numbers, prices, menu items, addresses, ratings, opening hours, or measurable service promises.</w:t>
      </w:r>
    </w:p>
    <w:tbl>
      <w:tblPr>
        <w:tblStyle w:val="TableGrid"/>
        <w:tblW w:type="auto" w:w="0"/>
        <w:tblLook w:firstColumn="1" w:firstRow="1" w:lastColumn="0" w:lastRow="0" w:noHBand="0" w:noVBand="1" w:val="04A0"/>
      </w:tblPr>
      <w:tblGrid>
        <w:gridCol w:w="2851"/>
        <w:gridCol w:w="2851"/>
        <w:gridCol w:w="2851"/>
        <w:gridCol w:w="2851"/>
        <w:gridCol w:w="2851"/>
      </w:tblGrid>
      <w:tr>
        <w:trPr>
          <w:tblHeader w:val="true"/>
        </w:trPr>
        <w:tc>
          <w:tcPr>
            <w:tcW w:type="dxa" w:w="2851"/>
            <w:shd w:fill="1F4E79"/>
          </w:tcPr>
          <w:p>
            <w:pPr>
              <w:spacing w:after="0"/>
            </w:pPr>
            <w:r>
              <w:rPr>
                <w:color w:val="FFFFFF"/>
              </w:rPr>
            </w:r>
            <w:r>
              <w:rPr>
                <w:b/>
                <w:color w:val="FFFFFF"/>
                <w:sz w:val="16"/>
              </w:rPr>
              <w:t>ID</w:t>
            </w:r>
          </w:p>
        </w:tc>
        <w:tc>
          <w:tcPr>
            <w:tcW w:type="dxa" w:w="2851"/>
            <w:shd w:fill="1F4E79"/>
          </w:tcPr>
          <w:p>
            <w:pPr>
              <w:spacing w:after="0"/>
            </w:pPr>
            <w:r>
              <w:rPr>
                <w:color w:val="FFFFFF"/>
              </w:rPr>
            </w:r>
            <w:r>
              <w:rPr>
                <w:b/>
                <w:color w:val="FFFFFF"/>
                <w:sz w:val="16"/>
              </w:rPr>
              <w:t>Approved replacement</w:t>
            </w:r>
          </w:p>
        </w:tc>
        <w:tc>
          <w:tcPr>
            <w:tcW w:type="dxa" w:w="2851"/>
            <w:shd w:fill="1F4E79"/>
          </w:tcPr>
          <w:p>
            <w:pPr>
              <w:spacing w:after="0"/>
            </w:pPr>
            <w:r>
              <w:rPr>
                <w:color w:val="FFFFFF"/>
              </w:rPr>
            </w:r>
            <w:r>
              <w:rPr>
                <w:b/>
                <w:color w:val="FFFFFF"/>
                <w:sz w:val="16"/>
              </w:rPr>
              <w:t>Edit class</w:t>
            </w:r>
          </w:p>
        </w:tc>
        <w:tc>
          <w:tcPr>
            <w:tcW w:type="dxa" w:w="2851"/>
            <w:shd w:fill="1F4E79"/>
          </w:tcPr>
          <w:p>
            <w:pPr>
              <w:spacing w:after="0"/>
            </w:pPr>
            <w:r>
              <w:rPr>
                <w:color w:val="FFFFFF"/>
              </w:rPr>
            </w:r>
            <w:r>
              <w:rPr>
                <w:b/>
                <w:color w:val="FFFFFF"/>
                <w:sz w:val="16"/>
              </w:rPr>
              <w:t>Comment anchor</w:t>
            </w:r>
          </w:p>
        </w:tc>
        <w:tc>
          <w:tcPr>
            <w:tcW w:type="dxa" w:w="2851"/>
            <w:shd w:fill="1F4E79"/>
          </w:tcPr>
          <w:p>
            <w:pPr>
              <w:spacing w:after="0"/>
            </w:pPr>
            <w:r>
              <w:rPr>
                <w:color w:val="FFFFFF"/>
              </w:rPr>
            </w:r>
            <w:r>
              <w:rPr>
                <w:b/>
                <w:color w:val="FFFFFF"/>
                <w:sz w:val="16"/>
              </w:rPr>
              <w:t>Required comment</w:t>
            </w:r>
          </w:p>
        </w:tc>
      </w:tr>
      <w:tr>
        <w:trPr>
          <w:cantSplit/>
        </w:trPr>
        <w:tc>
          <w:tcPr>
            <w:tcW w:type="dxa" w:w="2851"/>
          </w:tcPr>
          <w:p>
            <w:pPr>
              <w:spacing w:after="0"/>
            </w:pPr>
            <w:r/>
            <w:r>
              <w:rPr>
                <w:b/>
                <w:sz w:val="16"/>
              </w:rPr>
              <w:t>S1</w:t>
            </w:r>
          </w:p>
        </w:tc>
        <w:tc>
          <w:tcPr>
            <w:tcW w:type="dxa" w:w="2851"/>
          </w:tcPr>
          <w:p>
            <w:pPr>
              <w:spacing w:after="0"/>
            </w:pPr>
            <w:r/>
            <w:r>
              <w:rPr>
                <w:b w:val="0"/>
                <w:sz w:val="16"/>
              </w:rPr>
              <w:t>A small café offered a tranquil pause in the heart of the bustling city.</w:t>
            </w:r>
          </w:p>
        </w:tc>
        <w:tc>
          <w:tcPr>
            <w:tcW w:type="dxa" w:w="2851"/>
          </w:tcPr>
          <w:p>
            <w:pPr>
              <w:spacing w:after="0"/>
            </w:pPr>
            <w:r/>
            <w:r>
              <w:rPr>
                <w:b w:val="0"/>
                <w:sz w:val="16"/>
              </w:rPr>
              <w:t>Subject front-loading</w:t>
            </w:r>
          </w:p>
        </w:tc>
        <w:tc>
          <w:tcPr>
            <w:tcW w:type="dxa" w:w="2851"/>
          </w:tcPr>
          <w:p>
            <w:pPr>
              <w:spacing w:after="0"/>
            </w:pPr>
            <w:r/>
            <w:r>
              <w:rPr>
                <w:b w:val="0"/>
                <w:sz w:val="16"/>
              </w:rPr>
            </w:r>
          </w:p>
        </w:tc>
        <w:tc>
          <w:tcPr>
            <w:tcW w:type="dxa" w:w="2851"/>
          </w:tcPr>
          <w:p>
            <w:pPr>
              <w:spacing w:after="0"/>
            </w:pPr>
            <w:r/>
            <w:r>
              <w:rPr>
                <w:b w:val="0"/>
                <w:sz w:val="16"/>
              </w:rPr>
            </w:r>
          </w:p>
        </w:tc>
      </w:tr>
      <w:tr>
        <w:trPr>
          <w:cantSplit/>
        </w:trPr>
        <w:tc>
          <w:tcPr>
            <w:tcW w:type="dxa" w:w="2851"/>
          </w:tcPr>
          <w:p>
            <w:pPr>
              <w:spacing w:after="0"/>
            </w:pPr>
            <w:r/>
            <w:r>
              <w:rPr>
                <w:b/>
                <w:sz w:val="16"/>
              </w:rPr>
              <w:t>S2</w:t>
            </w:r>
          </w:p>
        </w:tc>
        <w:tc>
          <w:tcPr>
            <w:tcW w:type="dxa" w:w="2851"/>
          </w:tcPr>
          <w:p>
            <w:pPr>
              <w:spacing w:after="0"/>
            </w:pPr>
            <w:r/>
            <w:r>
              <w:rPr>
                <w:b w:val="0"/>
                <w:sz w:val="16"/>
              </w:rPr>
              <w:t>Vintage furniture and soft lighting made its cozy interior inviting to locals and tourists alike.</w:t>
            </w:r>
          </w:p>
        </w:tc>
        <w:tc>
          <w:tcPr>
            <w:tcW w:type="dxa" w:w="2851"/>
          </w:tcPr>
          <w:p>
            <w:pPr>
              <w:spacing w:after="0"/>
            </w:pPr>
            <w:r/>
            <w:r>
              <w:rPr>
                <w:b w:val="0"/>
                <w:sz w:val="16"/>
              </w:rPr>
              <w:t>Clause tightening</w:t>
            </w:r>
          </w:p>
        </w:tc>
        <w:tc>
          <w:tcPr>
            <w:tcW w:type="dxa" w:w="2851"/>
          </w:tcPr>
          <w:p>
            <w:pPr>
              <w:spacing w:after="0"/>
            </w:pPr>
            <w:r/>
            <w:r>
              <w:rPr>
                <w:b w:val="0"/>
                <w:sz w:val="16"/>
              </w:rPr>
              <w:t>locals and tourists alike</w:t>
            </w:r>
          </w:p>
        </w:tc>
        <w:tc>
          <w:tcPr>
            <w:tcW w:type="dxa" w:w="2851"/>
          </w:tcPr>
          <w:p>
            <w:pPr>
              <w:spacing w:after="0"/>
            </w:pPr>
            <w:r/>
            <w:r>
              <w:rPr>
                <w:b w:val="0"/>
                <w:sz w:val="16"/>
              </w:rPr>
              <w:t>Audience evidence comes from source sentence S2; retain both audience groups.</w:t>
            </w:r>
          </w:p>
        </w:tc>
      </w:tr>
      <w:tr>
        <w:trPr>
          <w:cantSplit/>
        </w:trPr>
        <w:tc>
          <w:tcPr>
            <w:tcW w:type="dxa" w:w="2851"/>
          </w:tcPr>
          <w:p>
            <w:pPr>
              <w:spacing w:after="0"/>
            </w:pPr>
            <w:r/>
            <w:r>
              <w:rPr>
                <w:b/>
                <w:sz w:val="16"/>
              </w:rPr>
              <w:t>S3</w:t>
            </w:r>
          </w:p>
        </w:tc>
        <w:tc>
          <w:tcPr>
            <w:tcW w:type="dxa" w:w="2851"/>
          </w:tcPr>
          <w:p>
            <w:pPr>
              <w:spacing w:after="0"/>
            </w:pPr>
            <w:r/>
            <w:r>
              <w:rPr>
                <w:b w:val="0"/>
                <w:sz w:val="16"/>
              </w:rPr>
              <w:t>Freshly brewed coffee and baked pastries scented the room, welcoming everyone who entered.</w:t>
            </w:r>
          </w:p>
        </w:tc>
        <w:tc>
          <w:tcPr>
            <w:tcW w:type="dxa" w:w="2851"/>
          </w:tcPr>
          <w:p>
            <w:pPr>
              <w:spacing w:after="0"/>
            </w:pPr>
            <w:r/>
            <w:r>
              <w:rPr>
                <w:b w:val="0"/>
                <w:sz w:val="16"/>
              </w:rPr>
              <w:t>Sensory consolidation</w:t>
            </w:r>
          </w:p>
        </w:tc>
        <w:tc>
          <w:tcPr>
            <w:tcW w:type="dxa" w:w="2851"/>
          </w:tcPr>
          <w:p>
            <w:pPr>
              <w:spacing w:after="0"/>
            </w:pPr>
            <w:r/>
            <w:r>
              <w:rPr>
                <w:b w:val="0"/>
                <w:sz w:val="16"/>
              </w:rPr>
              <w:t>Freshly brewed coffee and baked pastries</w:t>
            </w:r>
          </w:p>
        </w:tc>
        <w:tc>
          <w:tcPr>
            <w:tcW w:type="dxa" w:w="2851"/>
          </w:tcPr>
          <w:p>
            <w:pPr>
              <w:spacing w:after="0"/>
            </w:pPr>
            <w:r/>
            <w:r>
              <w:rPr>
                <w:b w:val="0"/>
                <w:sz w:val="16"/>
              </w:rPr>
              <w:t>Sensory evidence combines the two aromas named in source sentence S3; no additional menu items are approved.</w:t>
            </w:r>
          </w:p>
        </w:tc>
      </w:tr>
      <w:tr>
        <w:trPr>
          <w:cantSplit/>
        </w:trPr>
        <w:tc>
          <w:tcPr>
            <w:tcW w:type="dxa" w:w="2851"/>
          </w:tcPr>
          <w:p>
            <w:pPr>
              <w:spacing w:after="0"/>
            </w:pPr>
            <w:r/>
            <w:r>
              <w:rPr>
                <w:b/>
                <w:sz w:val="16"/>
              </w:rPr>
              <w:t>S4</w:t>
            </w:r>
          </w:p>
        </w:tc>
        <w:tc>
          <w:tcPr>
            <w:tcW w:type="dxa" w:w="2851"/>
          </w:tcPr>
          <w:p>
            <w:pPr>
              <w:spacing w:after="0"/>
            </w:pPr>
            <w:r/>
            <w:r>
              <w:rPr>
                <w:b w:val="0"/>
                <w:sz w:val="16"/>
              </w:rPr>
              <w:t>At mismatched tables, patrons talked, reflected, and sipped their drinks.</w:t>
            </w:r>
          </w:p>
        </w:tc>
        <w:tc>
          <w:tcPr>
            <w:tcW w:type="dxa" w:w="2851"/>
          </w:tcPr>
          <w:p>
            <w:pPr>
              <w:spacing w:after="0"/>
            </w:pPr>
            <w:r/>
            <w:r>
              <w:rPr>
                <w:b w:val="0"/>
                <w:sz w:val="16"/>
              </w:rPr>
              <w:t>Parallel compression</w:t>
            </w:r>
          </w:p>
        </w:tc>
        <w:tc>
          <w:tcPr>
            <w:tcW w:type="dxa" w:w="2851"/>
          </w:tcPr>
          <w:p>
            <w:pPr>
              <w:spacing w:after="0"/>
            </w:pPr>
            <w:r/>
            <w:r>
              <w:rPr>
                <w:b w:val="0"/>
                <w:sz w:val="16"/>
              </w:rPr>
            </w:r>
          </w:p>
        </w:tc>
        <w:tc>
          <w:tcPr>
            <w:tcW w:type="dxa" w:w="2851"/>
          </w:tcPr>
          <w:p>
            <w:pPr>
              <w:spacing w:after="0"/>
            </w:pPr>
            <w:r/>
            <w:r>
              <w:rPr>
                <w:b w:val="0"/>
                <w:sz w:val="16"/>
              </w:rPr>
            </w:r>
          </w:p>
        </w:tc>
      </w:tr>
      <w:tr>
        <w:trPr>
          <w:cantSplit/>
        </w:trPr>
        <w:tc>
          <w:tcPr>
            <w:tcW w:type="dxa" w:w="2851"/>
          </w:tcPr>
          <w:p>
            <w:pPr>
              <w:spacing w:after="0"/>
            </w:pPr>
            <w:r/>
            <w:r>
              <w:rPr>
                <w:b/>
                <w:sz w:val="16"/>
              </w:rPr>
              <w:t>S5</w:t>
            </w:r>
          </w:p>
        </w:tc>
        <w:tc>
          <w:tcPr>
            <w:tcW w:type="dxa" w:w="2851"/>
          </w:tcPr>
          <w:p>
            <w:pPr>
              <w:spacing w:after="0"/>
            </w:pPr>
            <w:r/>
            <w:r>
              <w:rPr>
                <w:b w:val="0"/>
                <w:sz w:val="16"/>
              </w:rPr>
              <w:t>The city buzzed outside; within the café, time seemed to slow and offer a brief respite.</w:t>
            </w:r>
          </w:p>
        </w:tc>
        <w:tc>
          <w:tcPr>
            <w:tcW w:type="dxa" w:w="2851"/>
          </w:tcPr>
          <w:p>
            <w:pPr>
              <w:spacing w:after="0"/>
            </w:pPr>
            <w:r/>
            <w:r>
              <w:rPr>
                <w:b w:val="0"/>
                <w:sz w:val="16"/>
              </w:rPr>
              <w:t>Contrast compression</w:t>
            </w:r>
          </w:p>
        </w:tc>
        <w:tc>
          <w:tcPr>
            <w:tcW w:type="dxa" w:w="2851"/>
          </w:tcPr>
          <w:p>
            <w:pPr>
              <w:spacing w:after="0"/>
            </w:pPr>
            <w:r/>
            <w:r>
              <w:rPr>
                <w:b w:val="0"/>
                <w:sz w:val="16"/>
              </w:rPr>
              <w:t>time seemed to slow</w:t>
            </w:r>
          </w:p>
        </w:tc>
        <w:tc>
          <w:tcPr>
            <w:tcW w:type="dxa" w:w="2851"/>
          </w:tcPr>
          <w:p>
            <w:pPr>
              <w:spacing w:after="0"/>
            </w:pPr>
            <w:r/>
            <w:r>
              <w:rPr>
                <w:b w:val="0"/>
                <w:sz w:val="16"/>
              </w:rPr>
              <w:t>This figurative claim is retained from source sentence S5 and must not be restated as a measurable service promise.</w:t>
            </w:r>
          </w:p>
        </w:tc>
      </w:tr>
    </w:tbl>
    <w:p>
      <w:pPr>
        <w:pStyle w:val="Heading1"/>
      </w:pPr>
      <w:r>
        <w:t>Completion controls</w:t>
      </w:r>
    </w:p>
    <w:p>
      <w:pPr>
        <w:pStyle w:val="ListBullet"/>
      </w:pPr>
      <w:r>
        <w:t>Retain the template's controlled source exactly; it remains the fact authority.</w:t>
      </w:r>
    </w:p>
    <w:p>
      <w:pPr>
        <w:pStyle w:val="ListBullet"/>
      </w:pPr>
      <w:r>
        <w:t>Use Word-native tracked deletion and insertion for every sentence pair and enable Track Changes.</w:t>
      </w:r>
    </w:p>
    <w:p>
      <w:pPr>
        <w:pStyle w:val="ListBullet"/>
      </w:pPr>
      <w:r>
        <w:t>Anchor the three required comments to the exact approved-copy phrases shown in the ticket.</w:t>
      </w:r>
    </w:p>
    <w:p>
      <w:pPr>
        <w:pStyle w:val="ListBullet"/>
      </w:pPr>
      <w:r>
        <w:t>Create bookmarks review_S1 through review_S5 around the approved replacements and link each register row back to its sentence.</w:t>
      </w:r>
    </w:p>
    <w:p>
      <w:pPr>
        <w:pStyle w:val="ListBullet"/>
      </w:pPr>
      <w:r>
        <w:t>Complete the register, integrity summary, evidence note, headers, footers, section geometry, and native editable tables; do not flatten content to images.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ingSentence">
    <w:name w:val="Working Sentence"/>
    <w:pPr>
      <w:spacing w:after="140"/>
      <w:ind w:left="360" w:hanging="360"/>
    </w:pPr>
    <w:rPr>
      <w:rFonts w:ascii="Aptos" w:hAnsi="Aptos"/>
      <w:sz w:val="21"/>
    </w:rPr>
  </w:style>
  <w:style w:type="paragraph" w:customStyle="1" w:styleId="EvidenceNote">
    <w:name w:val="Evidence Note"/>
    <w:pPr>
      <w:spacing w:after="120" w:line="259"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Café Profile Approved Copy Ticket CP-016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