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Café Profile Editorial Review</w:t>
      </w:r>
    </w:p>
    <w:p>
      <w:pPr>
        <w:pStyle w:val="Subtitle"/>
      </w:pPr>
      <w:r>
        <w:t>Controlled source, approved working copy, and sentence-level evidence</w:t>
      </w:r>
    </w:p>
    <w:tbl>
      <w:tblPr>
        <w:tblStyle w:val="TableGrid"/>
        <w:tblW w:type="auto" w:w="0"/>
        <w:tblLook w:firstColumn="1" w:firstRow="1" w:lastColumn="0" w:lastRow="0" w:noHBand="0" w:noVBand="1" w:val="04A0"/>
      </w:tblPr>
      <w:tblGrid>
        <w:gridCol w:w="5040"/>
        <w:gridCol w:w="5040"/>
      </w:tblGrid>
      <w:tr>
        <w:trPr>
          <w:cantSplit/>
        </w:trPr>
        <w:tc>
          <w:tcPr>
            <w:tcW w:type="dxa" w:w="5040"/>
            <w:shd w:fill="D9EAF7"/>
          </w:tcPr>
          <w:p>
            <w:pPr>
              <w:spacing w:after="0"/>
            </w:pPr>
            <w:r/>
            <w:r>
              <w:rPr>
                <w:b/>
                <w:sz w:val="18"/>
              </w:rPr>
              <w:t>Work item</w:t>
            </w:r>
          </w:p>
        </w:tc>
        <w:tc>
          <w:tcPr>
            <w:tcW w:type="dxa" w:w="5040"/>
          </w:tcPr>
          <w:p>
            <w:pPr>
              <w:spacing w:after="0"/>
            </w:pPr>
            <w:r/>
            <w:r>
              <w:rPr>
                <w:b w:val="0"/>
                <w:sz w:val="18"/>
              </w:rPr>
              <w:t>CP-016</w:t>
            </w:r>
          </w:p>
        </w:tc>
      </w:tr>
      <w:tr>
        <w:trPr>
          <w:cantSplit/>
        </w:trPr>
        <w:tc>
          <w:tcPr>
            <w:tcW w:type="dxa" w:w="5040"/>
            <w:shd w:fill="D9EAF7"/>
          </w:tcPr>
          <w:p>
            <w:pPr>
              <w:spacing w:after="0"/>
            </w:pPr>
            <w:r/>
            <w:r>
              <w:rPr>
                <w:b/>
                <w:sz w:val="18"/>
              </w:rPr>
              <w:t>Authority</w:t>
            </w:r>
          </w:p>
        </w:tc>
        <w:tc>
          <w:tcPr>
            <w:tcW w:type="dxa" w:w="5040"/>
          </w:tcPr>
          <w:p>
            <w:pPr>
              <w:spacing w:after="0"/>
            </w:pPr>
            <w:r/>
            <w:r>
              <w:rPr>
                <w:b w:val="0"/>
                <w:sz w:val="18"/>
              </w:rPr>
              <w:t>random_paragraph.txt</w:t>
            </w:r>
          </w:p>
        </w:tc>
      </w:tr>
      <w:tr>
        <w:trPr>
          <w:cantSplit/>
        </w:trPr>
        <w:tc>
          <w:tcPr>
            <w:tcW w:type="dxa" w:w="5040"/>
            <w:shd w:fill="D9EAF7"/>
          </w:tcPr>
          <w:p>
            <w:pPr>
              <w:spacing w:after="0"/>
            </w:pPr>
            <w:r/>
            <w:r>
              <w:rPr>
                <w:b/>
                <w:sz w:val="18"/>
              </w:rPr>
              <w:t>Review state</w:t>
            </w:r>
          </w:p>
        </w:tc>
        <w:tc>
          <w:tcPr>
            <w:tcW w:type="dxa" w:w="5040"/>
          </w:tcPr>
          <w:p>
            <w:pPr>
              <w:spacing w:after="0"/>
            </w:pPr>
            <w:r/>
            <w:r>
              <w:rPr>
                <w:b w:val="0"/>
                <w:sz w:val="18"/>
              </w:rPr>
              <w:t>Awaiting approved-copy application</w:t>
            </w:r>
          </w:p>
        </w:tc>
      </w:tr>
    </w:tbl>
    <w:p>
      <w:pPr>
        <w:pStyle w:val="Heading1"/>
      </w:pPr>
      <w:r>
        <w:t>Controlled Source</w:t>
      </w:r>
    </w:p>
    <w:p>
      <w:pPr>
        <w:pStyle w:val="EvidenceNote"/>
      </w:pPr>
      <w:r>
        <w:t>This block is the fact authority. Preserve it verbatim and use it to check every approved revision.</w:t>
      </w:r>
    </w:p>
    <w:tbl>
      <w:tblPr>
        <w:tblStyle w:val="TableGrid"/>
        <w:tblW w:type="auto" w:w="0"/>
        <w:tblLook w:firstColumn="1" w:firstRow="1" w:lastColumn="0" w:lastRow="0" w:noHBand="0" w:noVBand="1" w:val="04A0"/>
      </w:tblPr>
      <w:tblGrid>
        <w:gridCol w:w="10080"/>
      </w:tblGrid>
      <w:tr>
        <w:trPr>
          <w:cantSplit/>
        </w:trPr>
        <w:tc>
          <w:tcPr>
            <w:tcW w:type="dxa" w:w="10080"/>
            <w:shd w:fill="F2F2F2"/>
          </w:tcPr>
          <w:p>
            <w:pPr>
              <w:spacing w:after="0"/>
            </w:pPr>
            <w:r/>
            <w:r>
              <w:rPr>
                <w:b w:val="0"/>
                <w:sz w:val="20"/>
              </w:rPr>
              <w:t>In the heart of the bustling city, a small café stood as a tranquil oasis amidst the chaos. Its cozy interior, adorned with vintage furniture and soft lighting, created an inviting atmosphere that drew in locals and tourists alike. The aroma of freshly brewed coffee mingled with the scent of baked pastries, creating a comforting embrace for all who entered. Patrons sat at mismatched tables, engrossed in conversations or lost in their thoughts as they sipped their drinks. Outside, the city buzzed with activity, but within the café's walls, time seemed to slow down, offering a brief respite from the fast-paced world beyond.</w:t>
            </w:r>
          </w:p>
        </w:tc>
      </w:tr>
    </w:tbl>
    <w:p>
      <w:pPr>
        <w:pStyle w:val="Heading1"/>
      </w:pPr>
      <w:r>
        <w:t>Approved Working Copy</w:t>
      </w:r>
    </w:p>
    <w:p>
      <w:pPr>
        <w:pStyle w:val="EvidenceNote"/>
      </w:pPr>
      <w:r>
        <w:t>Apply the approved ticket as five tracked replacements. Keep each sentence ID outside the tracked range.</w:t>
      </w:r>
    </w:p>
    <w:p>
      <w:pPr>
        <w:pStyle w:val="WorkingSentence"/>
      </w:pPr>
      <w:r>
        <w:rPr>
          <w:b/>
        </w:rPr>
        <w:t xml:space="preserve">S1 | </w:t>
      </w:r>
      <w:r>
        <w:t>In the heart of the bustling city, a small café stood as a tranquil oasis amidst the chaos.</w:t>
      </w:r>
    </w:p>
    <w:p>
      <w:pPr>
        <w:pStyle w:val="WorkingSentence"/>
      </w:pPr>
      <w:r>
        <w:rPr>
          <w:b/>
        </w:rPr>
        <w:t xml:space="preserve">S2 | </w:t>
      </w:r>
      <w:r>
        <w:t>Its cozy interior, adorned with vintage furniture and soft lighting, created an inviting atmosphere that drew in locals and tourists alike.</w:t>
      </w:r>
    </w:p>
    <w:p>
      <w:pPr>
        <w:pStyle w:val="WorkingSentence"/>
      </w:pPr>
      <w:r>
        <w:rPr>
          <w:b/>
        </w:rPr>
        <w:t xml:space="preserve">S3 | </w:t>
      </w:r>
      <w:r>
        <w:t>The aroma of freshly brewed coffee mingled with the scent of baked pastries, creating a comforting embrace for all who entered.</w:t>
      </w:r>
    </w:p>
    <w:p>
      <w:pPr>
        <w:pStyle w:val="WorkingSentence"/>
      </w:pPr>
      <w:r>
        <w:rPr>
          <w:b/>
        </w:rPr>
        <w:t xml:space="preserve">S4 | </w:t>
      </w:r>
      <w:r>
        <w:t>Patrons sat at mismatched tables, engrossed in conversations or lost in their thoughts as they sipped their drinks.</w:t>
      </w:r>
    </w:p>
    <w:p>
      <w:pPr>
        <w:pStyle w:val="WorkingSentence"/>
      </w:pPr>
      <w:r>
        <w:rPr>
          <w:b/>
        </w:rPr>
        <w:t xml:space="preserve">S5 | </w:t>
      </w:r>
      <w:r>
        <w:t>Outside, the city buzzed with activity, but within the café's walls, time seemed to slow down, offering a brief respite from the fast-paced world beyond.</w:t>
      </w:r>
    </w:p>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Sentence Evidence Register</w:t>
      </w:r>
    </w:p>
    <w:p>
      <w:pPr>
        <w:pStyle w:val="EvidenceNote"/>
      </w:pPr>
      <w:r>
        <w:t>Populate one row per sentence. Word counts use tokens of letters or numbers, allowing internal apostrophes and hyphens.</w:t>
      </w:r>
    </w:p>
    <w:tbl>
      <w:tblPr>
        <w:tblStyle w:val="TableGrid"/>
        <w:tblW w:type="auto" w:w="0"/>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1F4E79"/>
          </w:tcPr>
          <w:p>
            <w:pPr>
              <w:spacing w:after="0"/>
            </w:pPr>
            <w:r>
              <w:rPr>
                <w:color w:val="FFFFFF"/>
              </w:rPr>
            </w:r>
            <w:r>
              <w:rPr>
                <w:b/>
                <w:color w:val="FFFFFF"/>
                <w:sz w:val="17"/>
              </w:rPr>
              <w:t>ID</w:t>
            </w:r>
          </w:p>
        </w:tc>
        <w:tc>
          <w:tcPr>
            <w:tcW w:type="dxa" w:w="2376"/>
            <w:shd w:fill="1F4E79"/>
          </w:tcPr>
          <w:p>
            <w:pPr>
              <w:spacing w:after="0"/>
            </w:pPr>
            <w:r>
              <w:rPr>
                <w:color w:val="FFFFFF"/>
              </w:rPr>
            </w:r>
            <w:r>
              <w:rPr>
                <w:b/>
                <w:color w:val="FFFFFF"/>
                <w:sz w:val="17"/>
              </w:rPr>
              <w:t>Source cue</w:t>
            </w:r>
          </w:p>
        </w:tc>
        <w:tc>
          <w:tcPr>
            <w:tcW w:type="dxa" w:w="2376"/>
            <w:shd w:fill="1F4E79"/>
          </w:tcPr>
          <w:p>
            <w:pPr>
              <w:spacing w:after="0"/>
            </w:pPr>
            <w:r>
              <w:rPr>
                <w:color w:val="FFFFFF"/>
              </w:rPr>
            </w:r>
            <w:r>
              <w:rPr>
                <w:b/>
                <w:color w:val="FFFFFF"/>
                <w:sz w:val="17"/>
              </w:rPr>
              <w:t>Source words</w:t>
            </w:r>
          </w:p>
        </w:tc>
        <w:tc>
          <w:tcPr>
            <w:tcW w:type="dxa" w:w="2376"/>
            <w:shd w:fill="1F4E79"/>
          </w:tcPr>
          <w:p>
            <w:pPr>
              <w:spacing w:after="0"/>
            </w:pPr>
            <w:r>
              <w:rPr>
                <w:color w:val="FFFFFF"/>
              </w:rPr>
            </w:r>
            <w:r>
              <w:rPr>
                <w:b/>
                <w:color w:val="FFFFFF"/>
                <w:sz w:val="17"/>
              </w:rPr>
              <w:t>Approved words</w:t>
            </w:r>
          </w:p>
        </w:tc>
        <w:tc>
          <w:tcPr>
            <w:tcW w:type="dxa" w:w="2376"/>
            <w:shd w:fill="1F4E79"/>
          </w:tcPr>
          <w:p>
            <w:pPr>
              <w:spacing w:after="0"/>
            </w:pPr>
            <w:r>
              <w:rPr>
                <w:color w:val="FFFFFF"/>
              </w:rPr>
            </w:r>
            <w:r>
              <w:rPr>
                <w:b/>
                <w:color w:val="FFFFFF"/>
                <w:sz w:val="17"/>
              </w:rPr>
              <w:t>Delta</w:t>
            </w:r>
          </w:p>
        </w:tc>
        <w:tc>
          <w:tcPr>
            <w:tcW w:type="dxa" w:w="2376"/>
            <w:shd w:fill="1F4E79"/>
          </w:tcPr>
          <w:p>
            <w:pPr>
              <w:spacing w:after="0"/>
            </w:pPr>
            <w:r>
              <w:rPr>
                <w:color w:val="FFFFFF"/>
              </w:rPr>
            </w:r>
            <w:r>
              <w:rPr>
                <w:b/>
                <w:color w:val="FFFFFF"/>
                <w:sz w:val="17"/>
              </w:rPr>
              <w:t>Edit class / review link</w:t>
            </w:r>
          </w:p>
        </w:tc>
      </w:tr>
      <w:tr>
        <w:trPr>
          <w:cantSplit/>
        </w:trPr>
        <w:tc>
          <w:tcPr>
            <w:tcW w:type="dxa" w:w="2376"/>
          </w:tcPr>
          <w:p>
            <w:pPr>
              <w:spacing w:after="0"/>
            </w:pPr>
            <w:r/>
            <w:r>
              <w:rPr>
                <w:b/>
                <w:sz w:val="17"/>
              </w:rPr>
              <w:t>S1</w:t>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r>
      <w:tr>
        <w:trPr>
          <w:cantSplit/>
        </w:trPr>
        <w:tc>
          <w:tcPr>
            <w:tcW w:type="dxa" w:w="2376"/>
          </w:tcPr>
          <w:p>
            <w:pPr>
              <w:spacing w:after="0"/>
            </w:pPr>
            <w:r/>
            <w:r>
              <w:rPr>
                <w:b/>
                <w:sz w:val="17"/>
              </w:rPr>
              <w:t>S2</w:t>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r>
      <w:tr>
        <w:trPr>
          <w:cantSplit/>
        </w:trPr>
        <w:tc>
          <w:tcPr>
            <w:tcW w:type="dxa" w:w="2376"/>
          </w:tcPr>
          <w:p>
            <w:pPr>
              <w:spacing w:after="0"/>
            </w:pPr>
            <w:r/>
            <w:r>
              <w:rPr>
                <w:b/>
                <w:sz w:val="17"/>
              </w:rPr>
              <w:t>S3</w:t>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r>
      <w:tr>
        <w:trPr>
          <w:cantSplit/>
        </w:trPr>
        <w:tc>
          <w:tcPr>
            <w:tcW w:type="dxa" w:w="2376"/>
          </w:tcPr>
          <w:p>
            <w:pPr>
              <w:spacing w:after="0"/>
            </w:pPr>
            <w:r/>
            <w:r>
              <w:rPr>
                <w:b/>
                <w:sz w:val="17"/>
              </w:rPr>
              <w:t>S4</w:t>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r>
      <w:tr>
        <w:trPr>
          <w:cantSplit/>
        </w:trPr>
        <w:tc>
          <w:tcPr>
            <w:tcW w:type="dxa" w:w="2376"/>
          </w:tcPr>
          <w:p>
            <w:pPr>
              <w:spacing w:after="0"/>
            </w:pPr>
            <w:r/>
            <w:r>
              <w:rPr>
                <w:b/>
                <w:sz w:val="17"/>
              </w:rPr>
              <w:t>S5</w:t>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c>
          <w:tcPr>
            <w:tcW w:type="dxa" w:w="2376"/>
          </w:tcPr>
          <w:p>
            <w:pPr>
              <w:spacing w:after="0"/>
            </w:pPr>
            <w:r/>
            <w:r>
              <w:rPr>
                <w:b w:val="0"/>
                <w:sz w:val="17"/>
              </w:rPr>
            </w:r>
          </w:p>
        </w:tc>
      </w:tr>
    </w:tbl>
    <w:p>
      <w:pPr>
        <w:pStyle w:val="Heading1"/>
      </w:pPr>
      <w:r>
        <w:t>Copy Integrity Summary</w:t>
      </w:r>
    </w:p>
    <w:tbl>
      <w:tblPr>
        <w:tblStyle w:val="TableGrid"/>
        <w:tblW w:type="auto" w:w="0"/>
        <w:tblLook w:firstColumn="1" w:firstRow="1" w:lastColumn="0" w:lastRow="0" w:noHBand="0" w:noVBand="1" w:val="04A0"/>
      </w:tblPr>
      <w:tblGrid>
        <w:gridCol w:w="7128"/>
        <w:gridCol w:w="7128"/>
      </w:tblGrid>
      <w:tr>
        <w:trPr>
          <w:cantSplit/>
        </w:trPr>
        <w:tc>
          <w:tcPr>
            <w:tcW w:type="dxa" w:w="7128"/>
            <w:shd w:fill="D9EAF7"/>
          </w:tcPr>
          <w:p>
            <w:pPr>
              <w:spacing w:after="0"/>
            </w:pPr>
            <w:r/>
            <w:r>
              <w:rPr>
                <w:b/>
                <w:sz w:val="18"/>
              </w:rPr>
              <w:t>Source total</w:t>
            </w:r>
          </w:p>
        </w:tc>
        <w:tc>
          <w:tcPr>
            <w:tcW w:type="dxa" w:w="7128"/>
          </w:tcPr>
          <w:p>
            <w:pPr>
              <w:spacing w:after="0"/>
            </w:pPr>
            <w:r/>
            <w:r>
              <w:rPr>
                <w:b w:val="0"/>
                <w:sz w:val="18"/>
              </w:rPr>
            </w:r>
          </w:p>
        </w:tc>
      </w:tr>
      <w:tr>
        <w:trPr>
          <w:cantSplit/>
        </w:trPr>
        <w:tc>
          <w:tcPr>
            <w:tcW w:type="dxa" w:w="7128"/>
            <w:shd w:fill="D9EAF7"/>
          </w:tcPr>
          <w:p>
            <w:pPr>
              <w:spacing w:after="0"/>
            </w:pPr>
            <w:r/>
            <w:r>
              <w:rPr>
                <w:b/>
                <w:sz w:val="18"/>
              </w:rPr>
              <w:t>Approved total</w:t>
            </w:r>
          </w:p>
        </w:tc>
        <w:tc>
          <w:tcPr>
            <w:tcW w:type="dxa" w:w="7128"/>
          </w:tcPr>
          <w:p>
            <w:pPr>
              <w:spacing w:after="0"/>
            </w:pPr>
            <w:r/>
            <w:r>
              <w:rPr>
                <w:b w:val="0"/>
                <w:sz w:val="18"/>
              </w:rPr>
            </w:r>
          </w:p>
        </w:tc>
      </w:tr>
      <w:tr>
        <w:trPr>
          <w:cantSplit/>
        </w:trPr>
        <w:tc>
          <w:tcPr>
            <w:tcW w:type="dxa" w:w="7128"/>
            <w:shd w:fill="D9EAF7"/>
          </w:tcPr>
          <w:p>
            <w:pPr>
              <w:spacing w:after="0"/>
            </w:pPr>
            <w:r/>
            <w:r>
              <w:rPr>
                <w:b/>
                <w:sz w:val="18"/>
              </w:rPr>
              <w:t>Net change</w:t>
            </w:r>
          </w:p>
        </w:tc>
        <w:tc>
          <w:tcPr>
            <w:tcW w:type="dxa" w:w="7128"/>
          </w:tcPr>
          <w:p>
            <w:pPr>
              <w:spacing w:after="0"/>
            </w:pPr>
            <w:r/>
            <w:r>
              <w:rPr>
                <w:b w:val="0"/>
                <w:sz w:val="18"/>
              </w:rPr>
            </w:r>
          </w:p>
        </w:tc>
      </w:tr>
      <w:tr>
        <w:trPr>
          <w:cantSplit/>
        </w:trPr>
        <w:tc>
          <w:tcPr>
            <w:tcW w:type="dxa" w:w="7128"/>
            <w:shd w:fill="D9EAF7"/>
          </w:tcPr>
          <w:p>
            <w:pPr>
              <w:spacing w:after="0"/>
            </w:pPr>
            <w:r/>
            <w:r>
              <w:rPr>
                <w:b/>
                <w:sz w:val="18"/>
              </w:rPr>
              <w:t>Unapproved factual additions</w:t>
            </w:r>
          </w:p>
        </w:tc>
        <w:tc>
          <w:tcPr>
            <w:tcW w:type="dxa" w:w="7128"/>
          </w:tcPr>
          <w:p>
            <w:pPr>
              <w:spacing w:after="0"/>
            </w:pPr>
            <w:r/>
            <w:r>
              <w:rPr>
                <w:b w:val="0"/>
                <w:sz w:val="18"/>
              </w:rPr>
            </w:r>
          </w:p>
        </w:tc>
      </w:tr>
    </w:tbl>
    <w:p>
      <w:pPr>
        <w:pStyle w:val="Heading1"/>
      </w:pPr>
      <w:r>
        <w:t>Evidence Note</w:t>
      </w:r>
    </w:p>
    <w:p>
      <w:pPr>
        <w:pStyle w:val="EvidenceNote"/>
      </w:pPr>
      <w:r>
        <w:t>Add a 90–130 word evidence note here; then change the review state in the metadata table to Approved copy applied.</w:t>
      </w:r>
    </w:p>
    <w:sectPr w:rsidR="00FC693F" w:rsidRPr="0006063C" w:rsidSect="00034616">
      <w:headerReference w:type="default" r:id="rId11"/>
      <w:footerReference w:type="default" r:id="rId12"/>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copy • Page </w:t>
    </w:r>
    <w:fldSimple w:instr="PAGE">
      <w:r>
        <w:t>1</w:t>
      </w:r>
    </w:fldSimple>
    <w:r>
      <w:t xml:space="preserve"> of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copy • 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NORTHSTAR COPY DESK  |  CAFÉ PROFILE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NORTHSTAR COPY DESK  |  SENTENCE EVIDENCE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ingSentence">
    <w:name w:val="Working Sentence"/>
    <w:pPr>
      <w:spacing w:after="140"/>
      <w:ind w:left="360" w:hanging="360"/>
    </w:pPr>
    <w:rPr>
      <w:rFonts w:ascii="Aptos" w:hAnsi="Aptos"/>
      <w:sz w:val="21"/>
    </w:rPr>
  </w:style>
  <w:style w:type="paragraph" w:customStyle="1" w:styleId="EvidenceNote">
    <w:name w:val="Evidence Note"/>
    <w:pPr>
      <w:spacing w:after="120" w:line="259"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Café Profile Editorial Review Template</dc:title>
  <dc:subject>Controlled Word copy-edit workflow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