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  <w:sz w:val="56"/>
        </w:rPr>
        <w:t>Portfolio Analysis Report</w:t>
      </w:r>
    </w:p>
    <w:p>
      <w:r>
        <w:rPr>
          <w:rFonts w:ascii="Aptos" w:hAnsi="Aptos"/>
          <w:color w:val="168AAD"/>
          <w:sz w:val="20"/>
        </w:rPr>
        <w:t>MOEX holdings  |  Valuation date: 26 May 2026  |  Currency: RUB</w:t>
      </w:r>
    </w:p>
    <w:p>
      <w:r>
        <w:t>Prepared for the Investment Committee from the frozen portfolio, market snapshot and Fund Investment Policy v2026.1.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Portfolio value</w:t>
            </w:r>
          </w:p>
        </w:tc>
        <w:tc>
          <w:tcPr>
            <w:tcW w:type="dxa" w:w="2551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Best 30d</w:t>
            </w:r>
          </w:p>
        </w:tc>
        <w:tc>
          <w:tcPr>
            <w:tcW w:type="dxa" w:w="2551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Worst 30d</w:t>
            </w:r>
          </w:p>
        </w:tc>
        <w:tc>
          <w:tcPr>
            <w:tcW w:type="dxa" w:w="2721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Largest sector</w:t>
            </w:r>
          </w:p>
        </w:tc>
      </w:tr>
      <w:tr>
        <w:tc>
          <w:tcPr>
            <w:tcW w:type="dxa" w:w="2551"/>
            <w:shd w:fill="FFFFFF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192,071.02 RUB</w:t>
            </w:r>
          </w:p>
        </w:tc>
        <w:tc>
          <w:tcPr>
            <w:tcW w:type="dxa" w:w="2551"/>
            <w:shd w:fill="FFFFFF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MTSS.ME  1.96%</w:t>
            </w:r>
          </w:p>
        </w:tc>
        <w:tc>
          <w:tcPr>
            <w:tcW w:type="dxa" w:w="2551"/>
            <w:shd w:fill="FFFFFF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SBER.ME  -5.41%</w:t>
            </w:r>
          </w:p>
        </w:tc>
        <w:tc>
          <w:tcPr>
            <w:tcW w:type="dxa" w:w="2721"/>
            <w:shd w:fill="FFFFFF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Energy  41.13%</w:t>
            </w:r>
          </w:p>
        </w:tc>
      </w:tr>
    </w:tbl>
    <w:p>
      <w:pPr>
        <w:pStyle w:val="Heading1"/>
      </w:pPr>
      <w:r>
        <w:t>Holdings Overview</w:t>
      </w:r>
    </w:p>
    <w:p>
      <w:r>
        <w:t>All values use the latest close on 26 May 2026. The 30-day comparison uses the latest close on or before 26 April 2026, which is 24 April 2026 for every holding.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134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Symbol</w:t>
            </w:r>
          </w:p>
        </w:tc>
        <w:tc>
          <w:tcPr>
            <w:tcW w:type="dxa" w:w="1531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Company</w:t>
            </w:r>
          </w:p>
        </w:tc>
        <w:tc>
          <w:tcPr>
            <w:tcW w:type="dxa" w:w="1928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Sector</w:t>
            </w:r>
          </w:p>
        </w:tc>
        <w:tc>
          <w:tcPr>
            <w:tcW w:type="dxa" w:w="680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Qty</w:t>
            </w:r>
          </w:p>
        </w:tc>
        <w:tc>
          <w:tcPr>
            <w:tcW w:type="dxa" w:w="1134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Price</w:t>
            </w:r>
          </w:p>
        </w:tc>
        <w:tc>
          <w:tcPr>
            <w:tcW w:type="dxa" w:w="1361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Value (RUB)</w:t>
            </w:r>
          </w:p>
        </w:tc>
        <w:tc>
          <w:tcPr>
            <w:tcW w:type="dxa" w:w="850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30d</w:t>
            </w:r>
          </w:p>
        </w:tc>
        <w:tc>
          <w:tcPr>
            <w:tcW w:type="dxa" w:w="850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Weight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SBER.ME</w:t>
            </w:r>
          </w:p>
        </w:tc>
        <w:tc>
          <w:tcPr>
            <w:tcW w:type="dxa" w:w="1531"/>
            <w:shd w:fill="FFFFFF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ПАО Сбербанк</w:t>
            </w:r>
          </w:p>
        </w:tc>
        <w:tc>
          <w:tcPr>
            <w:tcW w:type="dxa" w:w="1928"/>
            <w:shd w:fill="FFFFFF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Financial Services</w:t>
            </w:r>
          </w:p>
        </w:tc>
        <w:tc>
          <w:tcPr>
            <w:tcW w:type="dxa" w:w="680"/>
            <w:shd w:fill="FFFFFF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100</w:t>
            </w:r>
          </w:p>
        </w:tc>
        <w:tc>
          <w:tcPr>
            <w:tcW w:type="dxa" w:w="1134"/>
            <w:shd w:fill="FFFFFF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120.8171</w:t>
            </w:r>
          </w:p>
        </w:tc>
        <w:tc>
          <w:tcPr>
            <w:tcW w:type="dxa" w:w="1361"/>
            <w:shd w:fill="FFFFFF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12,081.71</w:t>
            </w:r>
          </w:p>
        </w:tc>
        <w:tc>
          <w:tcPr>
            <w:tcW w:type="dxa" w:w="850"/>
            <w:shd w:fill="FFFFFF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-5.41%</w:t>
            </w:r>
          </w:p>
        </w:tc>
        <w:tc>
          <w:tcPr>
            <w:tcW w:type="dxa" w:w="850"/>
            <w:shd w:fill="FFFFFF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6.29%</w:t>
            </w:r>
          </w:p>
        </w:tc>
      </w:tr>
      <w:tr>
        <w:tc>
          <w:tcPr>
            <w:tcW w:type="dxa" w:w="1134"/>
            <w:shd w:fill="F4F7FA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GAZP.ME</w:t>
            </w:r>
          </w:p>
        </w:tc>
        <w:tc>
          <w:tcPr>
            <w:tcW w:type="dxa" w:w="1531"/>
            <w:shd w:fill="F4F7FA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ПАО Газпром</w:t>
            </w:r>
          </w:p>
        </w:tc>
        <w:tc>
          <w:tcPr>
            <w:tcW w:type="dxa" w:w="1928"/>
            <w:shd w:fill="F4F7FA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Energy</w:t>
            </w:r>
          </w:p>
        </w:tc>
        <w:tc>
          <w:tcPr>
            <w:tcW w:type="dxa" w:w="680"/>
            <w:shd w:fill="F4F7FA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200</w:t>
            </w:r>
          </w:p>
        </w:tc>
        <w:tc>
          <w:tcPr>
            <w:tcW w:type="dxa" w:w="1134"/>
            <w:shd w:fill="F4F7FA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208.6306</w:t>
            </w:r>
          </w:p>
        </w:tc>
        <w:tc>
          <w:tcPr>
            <w:tcW w:type="dxa" w:w="1361"/>
            <w:shd w:fill="F4F7FA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41,726.12</w:t>
            </w:r>
          </w:p>
        </w:tc>
        <w:tc>
          <w:tcPr>
            <w:tcW w:type="dxa" w:w="850"/>
            <w:shd w:fill="F4F7FA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-1.26%</w:t>
            </w:r>
          </w:p>
        </w:tc>
        <w:tc>
          <w:tcPr>
            <w:tcW w:type="dxa" w:w="850"/>
            <w:shd w:fill="F4F7FA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21.72%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LKOH.ME</w:t>
            </w:r>
          </w:p>
        </w:tc>
        <w:tc>
          <w:tcPr>
            <w:tcW w:type="dxa" w:w="1531"/>
            <w:shd w:fill="FFFFFF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ПАО ЛУКОЙЛ</w:t>
            </w:r>
          </w:p>
        </w:tc>
        <w:tc>
          <w:tcPr>
            <w:tcW w:type="dxa" w:w="1928"/>
            <w:shd w:fill="FFFFFF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Energy</w:t>
            </w:r>
          </w:p>
        </w:tc>
        <w:tc>
          <w:tcPr>
            <w:tcW w:type="dxa" w:w="680"/>
            <w:shd w:fill="FFFFFF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10</w:t>
            </w:r>
          </w:p>
        </w:tc>
        <w:tc>
          <w:tcPr>
            <w:tcW w:type="dxa" w:w="1134"/>
            <w:shd w:fill="FFFFFF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3,727.0965</w:t>
            </w:r>
          </w:p>
        </w:tc>
        <w:tc>
          <w:tcPr>
            <w:tcW w:type="dxa" w:w="1361"/>
            <w:shd w:fill="FFFFFF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37,270.97</w:t>
            </w:r>
          </w:p>
        </w:tc>
        <w:tc>
          <w:tcPr>
            <w:tcW w:type="dxa" w:w="850"/>
            <w:shd w:fill="FFFFFF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-0.72%</w:t>
            </w:r>
          </w:p>
        </w:tc>
        <w:tc>
          <w:tcPr>
            <w:tcW w:type="dxa" w:w="850"/>
            <w:shd w:fill="FFFFFF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19.40%</w:t>
            </w:r>
          </w:p>
        </w:tc>
      </w:tr>
      <w:tr>
        <w:tc>
          <w:tcPr>
            <w:tcW w:type="dxa" w:w="1134"/>
            <w:shd w:fill="F4F7FA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MGNT.ME</w:t>
            </w:r>
          </w:p>
        </w:tc>
        <w:tc>
          <w:tcPr>
            <w:tcW w:type="dxa" w:w="1531"/>
            <w:shd w:fill="F4F7FA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ПАО Магнит</w:t>
            </w:r>
          </w:p>
        </w:tc>
        <w:tc>
          <w:tcPr>
            <w:tcW w:type="dxa" w:w="1928"/>
            <w:shd w:fill="F4F7FA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Consumer Defensive</w:t>
            </w:r>
          </w:p>
        </w:tc>
        <w:tc>
          <w:tcPr>
            <w:tcW w:type="dxa" w:w="680"/>
            <w:shd w:fill="F4F7FA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15</w:t>
            </w:r>
          </w:p>
        </w:tc>
        <w:tc>
          <w:tcPr>
            <w:tcW w:type="dxa" w:w="1134"/>
            <w:shd w:fill="F4F7FA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4,182.1923</w:t>
            </w:r>
          </w:p>
        </w:tc>
        <w:tc>
          <w:tcPr>
            <w:tcW w:type="dxa" w:w="1361"/>
            <w:shd w:fill="F4F7FA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62,732.88</w:t>
            </w:r>
          </w:p>
        </w:tc>
        <w:tc>
          <w:tcPr>
            <w:tcW w:type="dxa" w:w="850"/>
            <w:shd w:fill="F4F7FA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-0.82%</w:t>
            </w:r>
          </w:p>
        </w:tc>
        <w:tc>
          <w:tcPr>
            <w:tcW w:type="dxa" w:w="850"/>
            <w:shd w:fill="F4F7FA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32.66%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MTSS.ME</w:t>
            </w:r>
          </w:p>
        </w:tc>
        <w:tc>
          <w:tcPr>
            <w:tcW w:type="dxa" w:w="1531"/>
            <w:shd w:fill="FFFFFF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ПАО МТС</w:t>
            </w:r>
          </w:p>
        </w:tc>
        <w:tc>
          <w:tcPr>
            <w:tcW w:type="dxa" w:w="1928"/>
            <w:shd w:fill="FFFFFF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Communication Services</w:t>
            </w:r>
          </w:p>
        </w:tc>
        <w:tc>
          <w:tcPr>
            <w:tcW w:type="dxa" w:w="680"/>
            <w:shd w:fill="FFFFFF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150</w:t>
            </w:r>
          </w:p>
        </w:tc>
        <w:tc>
          <w:tcPr>
            <w:tcW w:type="dxa" w:w="1134"/>
            <w:shd w:fill="FFFFFF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255.0623</w:t>
            </w:r>
          </w:p>
        </w:tc>
        <w:tc>
          <w:tcPr>
            <w:tcW w:type="dxa" w:w="1361"/>
            <w:shd w:fill="FFFFFF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38,259.35</w:t>
            </w:r>
          </w:p>
        </w:tc>
        <w:tc>
          <w:tcPr>
            <w:tcW w:type="dxa" w:w="850"/>
            <w:shd w:fill="FFFFFF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1.96%</w:t>
            </w:r>
          </w:p>
        </w:tc>
        <w:tc>
          <w:tcPr>
            <w:tcW w:type="dxa" w:w="850"/>
            <w:shd w:fill="FFFFFF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19.92%</w:t>
            </w:r>
          </w:p>
        </w:tc>
      </w:tr>
    </w:tbl>
    <w:p>
      <w:pPr>
        <w:sectPr>
          <w:footerReference w:type="default" r:id="rId9"/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Performance Analysis</w:t>
      </w:r>
    </w:p>
    <w:p>
      <w:r>
        <w:t>Total portfolio value is 192,071.02 RUB. MTSS.ME is the best 30-day performer at 1.96%; SBER.ME is the worst at -5.41%. These figures describe price changes in the frozen window and do not establish their causes.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195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Sector</w:t>
            </w:r>
          </w:p>
        </w:tc>
        <w:tc>
          <w:tcPr>
            <w:tcW w:type="dxa" w:w="3118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Market value</w:t>
            </w:r>
          </w:p>
        </w:tc>
        <w:tc>
          <w:tcPr>
            <w:tcW w:type="dxa" w:w="2381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Portfolio weight</w:t>
            </w:r>
          </w:p>
        </w:tc>
      </w:tr>
      <w:tr>
        <w:tc>
          <w:tcPr>
            <w:tcW w:type="dxa" w:w="4195"/>
            <w:shd w:fill="FFFFFF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Energy</w:t>
            </w:r>
          </w:p>
        </w:tc>
        <w:tc>
          <w:tcPr>
            <w:tcW w:type="dxa" w:w="3118"/>
            <w:shd w:fill="FFFFFF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78,997.09 RUB</w:t>
            </w:r>
          </w:p>
        </w:tc>
        <w:tc>
          <w:tcPr>
            <w:tcW w:type="dxa" w:w="2381"/>
            <w:shd w:fill="FFFFFF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41.13%</w:t>
            </w:r>
          </w:p>
        </w:tc>
      </w:tr>
      <w:tr>
        <w:tc>
          <w:tcPr>
            <w:tcW w:type="dxa" w:w="4195"/>
            <w:shd w:fill="F4F7FA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Consumer Defensive</w:t>
            </w:r>
          </w:p>
        </w:tc>
        <w:tc>
          <w:tcPr>
            <w:tcW w:type="dxa" w:w="3118"/>
            <w:shd w:fill="F4F7FA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62,732.88 RUB</w:t>
            </w:r>
          </w:p>
        </w:tc>
        <w:tc>
          <w:tcPr>
            <w:tcW w:type="dxa" w:w="2381"/>
            <w:shd w:fill="F4F7FA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32.66%</w:t>
            </w:r>
          </w:p>
        </w:tc>
      </w:tr>
      <w:tr>
        <w:tc>
          <w:tcPr>
            <w:tcW w:type="dxa" w:w="4195"/>
            <w:shd w:fill="FFFFFF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Communication Services</w:t>
            </w:r>
          </w:p>
        </w:tc>
        <w:tc>
          <w:tcPr>
            <w:tcW w:type="dxa" w:w="3118"/>
            <w:shd w:fill="FFFFFF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38,259.35 RUB</w:t>
            </w:r>
          </w:p>
        </w:tc>
        <w:tc>
          <w:tcPr>
            <w:tcW w:type="dxa" w:w="2381"/>
            <w:shd w:fill="FFFFFF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19.92%</w:t>
            </w:r>
          </w:p>
        </w:tc>
      </w:tr>
      <w:tr>
        <w:tc>
          <w:tcPr>
            <w:tcW w:type="dxa" w:w="4195"/>
            <w:shd w:fill="F4F7FA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Financial Services</w:t>
            </w:r>
          </w:p>
        </w:tc>
        <w:tc>
          <w:tcPr>
            <w:tcW w:type="dxa" w:w="3118"/>
            <w:shd w:fill="F4F7FA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12,081.71 RUB</w:t>
            </w:r>
          </w:p>
        </w:tc>
        <w:tc>
          <w:tcPr>
            <w:tcW w:type="dxa" w:w="2381"/>
            <w:shd w:fill="F4F7FA"/>
            <w:tcBorders>
              <w:top w:val="single" w:sz="6" w:color="CCD8E2"/>
              <w:left w:val="single" w:sz="6" w:color="CCD8E2"/>
              <w:bottom w:val="single" w:sz="6" w:color="CCD8E2"/>
              <w:right w:val="single" w:sz="6" w:color="CCD8E2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7324D"/>
                <w:sz w:val="15"/>
              </w:rPr>
              <w:t>6.29%</w:t>
            </w:r>
          </w:p>
        </w:tc>
      </w:tr>
    </w:tbl>
    <w:p>
      <w:r>
        <w:t>Energy is the largest sector exposure at 78,997.09 RUB (41.13%). GAZP.ME and LKOH.ME are combined in this sector total.</w:t>
      </w:r>
    </w:p>
    <w:p>
      <w:pPr>
        <w:pStyle w:val="Heading1"/>
      </w:pPr>
      <w:r>
        <w:t>Policy Review</w:t>
      </w:r>
    </w:p>
    <w:p>
      <w:pPr>
        <w:pStyle w:val="ListBullet"/>
      </w:pPr>
      <w:r>
        <w:t>All five issuers are in sectors permitted by the policy.</w:t>
      </w:r>
    </w:p>
    <w:p>
      <w:pPr>
        <w:pStyle w:val="ListBullet"/>
      </w:pPr>
      <w:r>
        <w:t>All quoted prices and portfolio values are in RUB and the exchange is MCX.</w:t>
      </w:r>
    </w:p>
    <w:p>
      <w:pPr>
        <w:pStyle w:val="ListBullet"/>
      </w:pPr>
      <w:r>
        <w:t>All five issuers have market capitalisation above 100 billion RUB and are classified as Large Cap.</w:t>
      </w:r>
    </w:p>
    <w:p>
      <w:pPr>
        <w:pStyle w:val="ListBullet"/>
      </w:pPr>
      <w:r>
        <w:t>The supplied policy does not define a maximum position or sector-weight limit; this report therefore does not invent one.</w:t>
      </w:r>
    </w:p>
    <w:p>
      <w:r>
        <w:t>Policy-compliant positions: 5 of 5.</w:t>
      </w:r>
    </w:p>
    <w:p>
      <w:pPr>
        <w:pStyle w:val="Heading1"/>
      </w:pPr>
      <w:r>
        <w:t>Recommendations</w:t>
      </w:r>
    </w:p>
    <w:p>
      <w:pPr>
        <w:pStyle w:val="ListNumber"/>
      </w:pPr>
      <w:r>
        <w:t>Monitor SBER.ME before the next committee meeting because it has the weakest observed 30-day return (-5.41%); review new evidence rather than inferring a cause from price movement alone.</w:t>
      </w:r>
    </w:p>
    <w:p>
      <w:pPr>
        <w:pStyle w:val="ListNumber"/>
      </w:pPr>
      <w:r>
        <w:t>Review the Energy exposure (41.13%) and decide whether the policy should introduce an explicit sector-concentration threshold; no such threshold exists in the supplied policy.</w:t>
      </w:r>
    </w:p>
    <w:p>
      <w:pPr>
        <w:pStyle w:val="ListNumber"/>
      </w:pPr>
      <w:r>
        <w:t>Continue tracking MTSS.ME after its positive 30-day return (1.96%), without treating one window as a forecast or an automatic buy signal.</w:t>
      </w:r>
    </w:p>
    <w:p>
      <w:pPr>
        <w:pStyle w:val="Heading1"/>
      </w:pPr>
      <w:r>
        <w:t>Method and Evidence Boundary</w:t>
      </w:r>
    </w:p>
    <w:p>
      <w:r>
        <w:t>Source files: Portfolio.xlsx, moex_market_snapshot.csv and Investment_Policy.pdf. Current values equal quantity multiplied by the latest close. Returns compare the latest close with the latest close on or before the 30-calendar-day cutoff. No external market data or unsupported investment recommendation was used.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07080"/>
        <w:sz w:val="16"/>
      </w:rPr>
      <w:t xml:space="preserve">MOEX Portfolio  |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324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Portfolio Analysis Report</dc:title>
  <dc:subject/>
  <dc:creator>python-docx</dc:creator>
  <cp:keywords/>
  <dc:description>generated by python-docx</dc:description>
  <cp:lastModifiedBy/>
  <cp:revision>1</cp:revision>
  <dcterms:created xsi:type="dcterms:W3CDTF">2026-05-27T07:30:00Z</dcterms:created>
  <dcterms:modified xsi:type="dcterms:W3CDTF">2026-05-27T07:30:00Z</dcterms:modified>
  <cp:category/>
</cp:coreProperties>
</file>