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MEMORANDUM</w:t>
      </w:r>
    </w:p>
    <w:p>
      <w:r>
        <w:rPr>
          <w:b/>
        </w:rPr>
        <w:t>TO:</w:t>
      </w:r>
      <w:r>
        <w:t xml:space="preserve"> Sarah Chen, General Counsel</w:t>
      </w:r>
    </w:p>
    <w:p>
      <w:r>
        <w:rPr>
          <w:b/>
        </w:rPr>
        <w:t>FROM:</w:t>
      </w:r>
      <w:r>
        <w:t xml:space="preserve"> David Nakamura, Senior Associate</w:t>
      </w:r>
    </w:p>
    <w:p>
      <w:r>
        <w:rPr>
          <w:b/>
        </w:rPr>
        <w:t>DATE:</w:t>
      </w:r>
      <w:r>
        <w:t xml:space="preserve"> March 10, 2026</w:t>
      </w:r>
    </w:p>
    <w:p>
      <w:r>
        <w:rPr>
          <w:b/>
        </w:rPr>
        <w:t>RE:</w:t>
      </w:r>
      <w:r>
        <w:t xml:space="preserve"> Enforcement Options for Westfield Data Breach - Analysis and Reccomendation</w:t>
      </w:r>
    </w:p>
    <w:p>
      <w:pPr>
        <w:pStyle w:val="Heading2"/>
      </w:pPr>
      <w:r>
        <w:t>I. Executive Summary</w:t>
      </w:r>
    </w:p>
    <w:p>
      <w:r>
        <w:t xml:space="preserve">This memorandum analyzes the Company's legal options following the data breach by Westfield Technologies Inc. (the "Respondent"). After reviewing the applicable statutes, contractual provisions, and availble evidence, we recommend pursuing Option A: direct litigation in federal court. This approach offers the strongest potential recovery and establishes precedent for future enforcement actions.</w:t>
      </w:r>
    </w:p>
    <w:p>
      <w:r>
        <w:t xml:space="preserve">The estimated timeline for Option A is completion by Q4 2025, with an estimated budget of $750,000 to $1,200,000 depending on discovery complexity and the Respondent's litigation posture.</w:t>
      </w:r>
    </w:p>
    <w:p>
      <w:pPr>
        <w:pStyle w:val="Heading2"/>
      </w:pPr>
      <w:r>
        <w:t>II. Background</w:t>
      </w:r>
    </w:p>
    <w:p>
      <w:r>
        <w:t xml:space="preserve">On January 15, 2026, the company discovered that Westfield Technologies had accessed and exfiltrated approximately 2.3 million customer records from the Company's cloud infrastructure. The breach occured through a compromised API endpoint that Westfield had been authorized to access under a limited data-sharing agreement executed in August 2024.</w:t>
      </w:r>
    </w:p>
    <w:p>
      <w:r>
        <w:t xml:space="preserve">The data-sharing agreement (the "DSA") explicitly limited Westfield's access to anonymized aggregate data for market research purposes. However, Westfield's access logs reveal that the Respondent systematically accessed personally identifiable information (PII) including names, email addresses, purchase histories, and in some cases financial account numbers.</w:t>
      </w:r>
    </w:p>
    <w:p>
      <w:r>
        <w:t xml:space="preserve">The Company has notified affected customers pursuant to applicable state breach notification laws and has incurred approximately $3.2 million in direct remediation costs to date.</w:t>
      </w:r>
    </w:p>
    <w:p>
      <w:pPr>
        <w:pStyle w:val="Heading2"/>
      </w:pPr>
      <w:r>
        <w:t>III. Option A: Federal Litigation</w:t>
      </w:r>
    </w:p>
    <w:p>
      <w:r>
        <w:t xml:space="preserve">Filing suit in the United States District Court for the Northern District of California provides several advantages. First, the Computer Fraud and Abuse Act (CFAA), 18 U.S.C. 1030, provides a private right of action for unauthorized access to computer systems. The Respondent's conduct clearly exceeds the scope of authorized access under the DSA, satisfying the CFAA's "exceeds authorized access" standard as interpreted by the Ninth Circuit in </w:t>
      </w:r>
      <w:r>
        <w:rPr>
          <w:i/>
        </w:rPr>
        <w:t>Van Buren v. United States</w:t>
      </w:r>
      <w:r>
        <w:t xml:space="preserve"> and its progeny.</w:t>
      </w:r>
    </w:p>
    <w:p>
      <w:r>
        <w:t xml:space="preserve">Second, the DSA contains a limitation of liability clause capping damages at $5 million, but this cap is uneforceable as applied to willful misconduct under California law. See </w:t>
      </w:r>
      <w:r>
        <w:rPr>
          <w:i/>
        </w:rPr>
        <w:t>City of Santa Barbara v. Superior Court</w:t>
      </w:r>
      <w:r>
        <w:t xml:space="preserve"> (2007) 41 Cal.4th 747. The Company's actual damages already exceede $3.2 million and are expected to grow.</w:t>
      </w:r>
    </w:p>
    <w:p>
      <w:r>
        <w:t xml:space="preserve">Third, the CFAA allows recovery of compensatory damages and injunctive relief. Combined with California's Unfair Competition Law (Bus. &amp; Prof. Code 17200) and the California Consumer Privacy Act (CCPA), the company could pursue statutory penalties in addition to compensatory damages.</w:t>
      </w:r>
    </w:p>
    <w:p>
      <w:pPr>
        <w:pStyle w:val="Heading2"/>
      </w:pPr>
      <w:r>
        <w:t>IV. Option B: Regulatory Filing</w:t>
      </w:r>
    </w:p>
    <w:p>
      <w:r>
        <w:t xml:space="preserve">The alternative approach is to file complaints with relevant regulatory bodies, including the Federal Trade Commission (FTC) and the California Attorney General's Office. The FTC has brought numerous enforcement actions under Section 5 of the FTC Act for deceptive data practices. The California AG has independent enforcement authority under the CCPA.</w:t>
      </w:r>
    </w:p>
    <w:p>
      <w:r>
        <w:t xml:space="preserve">This approach has lower direct costs (estimated at $200,000 to $350,000) but the Company has less control over the process, timeline, and outcome. Regulatory investigations typically take 12-18 months, and any monetary penalties would go to the government rather then the company. However, regulatory action can complement private litigation and may increase settlement pressure on the Respondent.</w:t>
      </w:r>
    </w:p>
    <w:p>
      <w:pPr>
        <w:pStyle w:val="Heading2"/>
      </w:pPr>
      <w:r>
        <w:t>V. Comparative Analysis</w:t>
      </w:r>
    </w:p>
    <w:p>
      <w:r>
        <w:t xml:space="preserve">Both options have merit, but they serve different strategic objectives. Litigation provides direct compensation and allows the Company to control the narrative and timeline. Regulatory action leverages government resources but sacrifices control. The key consideration is weather the Company prioritizes direct monetary recovery (favoring Option A) or broader deterrence and lower cost (favoring Option B).</w:t>
      </w:r>
    </w:p>
    <w:p>
      <w:r>
        <w:t xml:space="preserve">We note that the evidence is strong under either approach. The access logs are detailed and timestamped, the DSA clearly delineates the scope of authorized access, and Westfield has not offered any legitimate justifcation for accessing PII data. The strength of the Company's position on the merits reduces risk under either option.</w:t>
      </w:r>
    </w:p>
    <w:p>
      <w:pPr>
        <w:pStyle w:val="Heading2"/>
      </w:pPr>
      <w:r>
        <w:t>VI. Recommendation</w:t>
      </w:r>
    </w:p>
    <w:p>
      <w:r>
        <w:t xml:space="preserve">Based on our analysis, we recommend pursuing Option A (federal litigation) as the primary enforcement strategy, supplemented by a regulatory complaint to the California AG to maximize pressure. The estimated total budget for this combined approach is $850,000 to $1,350,000, with an expected timeline of completion by Q4 2025.</w:t>
      </w:r>
    </w:p>
    <w:p>
      <w:r>
        <w:t xml:space="preserve">We are prepared to begin drafting the complaint immediately upon your authorization. Plese let us know how you would like to proceed.</w:t>
      </w:r>
    </w:p>
  </w:body>
</w:document>
</file>

<file path=word/styles.xml><?xml version="1.0" encoding="utf-8"?>
<w:styles xmlns:w="http://schemas.openxmlformats.org/wordprocessingml/2006/main">
  <w:style w:type="paragraph" w:styleId="Normal">
    <w:name w:val="Normal"/>
  </w:style>
  <w:style w:type="paragraph" w:styleId="Heading1">
    <w:name w:val="heading 1"/>
    <w:basedOn w:val="Normal"/>
  </w:style>
  <w:style w:type="paragraph" w:styleId="Heading2">
    <w:name w:val="heading 2"/>
    <w:basedOn w:val="Normal"/>
  </w:style>
  <w:style w:type="paragraph" w:styleId="Heading3">
    <w:name w:val="heading 3"/>
    <w:basedOn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