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56F79">
      <w:pPr>
        <w:spacing w:after="480"/>
        <w:jc w:val="center"/>
      </w:pPr>
      <w:r>
        <w:rPr>
          <w:rFonts w:ascii="微软雅黑" w:hAnsi="微软雅黑" w:eastAsia="微软雅黑"/>
          <w:b/>
          <w:sz w:val="44"/>
        </w:rPr>
        <w:t>企业经营异常情况说明书</w:t>
      </w:r>
    </w:p>
    <w:p w14:paraId="5454F68B">
      <w:pPr>
        <w:spacing w:after="160"/>
      </w:pPr>
      <w:r>
        <w:rPr>
          <w:rFonts w:ascii="宋体" w:hAnsi="宋体" w:eastAsia="宋体"/>
          <w:sz w:val="23"/>
        </w:rPr>
        <w:t>说明人：</w:t>
      </w:r>
      <w:r>
        <w:rPr>
          <w:rFonts w:hint="eastAsia"/>
          <w:sz w:val="23"/>
          <w:lang w:eastAsia="zh-CN"/>
        </w:rPr>
        <w:t>林远芝</w:t>
      </w:r>
      <w:r>
        <w:rPr>
          <w:rFonts w:ascii="宋体" w:hAnsi="宋体" w:eastAsia="宋体"/>
          <w:sz w:val="23"/>
        </w:rPr>
        <w:t>（</w:t>
      </w:r>
      <w:r>
        <w:rPr>
          <w:rFonts w:hint="eastAsia"/>
          <w:sz w:val="23"/>
          <w:lang w:eastAsia="zh-CN"/>
        </w:rPr>
        <w:t>华中区域</w:t>
      </w:r>
      <w:r>
        <w:rPr>
          <w:rFonts w:ascii="宋体" w:hAnsi="宋体" w:eastAsia="宋体"/>
          <w:sz w:val="23"/>
        </w:rPr>
        <w:t>商业项目合作方）</w:t>
      </w:r>
    </w:p>
    <w:p w14:paraId="589EB3C7">
      <w:pPr>
        <w:spacing w:after="160"/>
      </w:pPr>
      <w:r>
        <w:rPr>
          <w:rFonts w:ascii="宋体" w:hAnsi="宋体" w:eastAsia="宋体"/>
          <w:sz w:val="23"/>
        </w:rPr>
        <w:t>联系方式：186****2741</w:t>
      </w:r>
    </w:p>
    <w:p w14:paraId="0AE6B8F3">
      <w:pPr>
        <w:spacing w:after="160"/>
      </w:pPr>
      <w:r>
        <w:rPr>
          <w:rFonts w:ascii="宋体" w:hAnsi="宋体" w:eastAsia="宋体"/>
          <w:sz w:val="23"/>
        </w:rPr>
        <w:t>联系地址：华中地区</w:t>
      </w:r>
      <w:r>
        <w:rPr>
          <w:rFonts w:hint="eastAsia" w:ascii="宋体" w:hAnsi="宋体" w:eastAsia="宋体"/>
          <w:sz w:val="23"/>
        </w:rPr>
        <w:t>羽厘</w:t>
      </w:r>
      <w:r>
        <w:rPr>
          <w:rFonts w:ascii="宋体" w:hAnsi="宋体" w:eastAsia="宋体"/>
          <w:sz w:val="23"/>
        </w:rPr>
        <w:t>商业办公区</w:t>
      </w:r>
    </w:p>
    <w:p w14:paraId="0470DB55">
      <w:pPr>
        <w:spacing w:after="160"/>
      </w:pPr>
      <w:r>
        <w:rPr>
          <w:rFonts w:ascii="宋体" w:hAnsi="宋体" w:eastAsia="宋体"/>
          <w:sz w:val="23"/>
        </w:rPr>
        <w:t>提交日期：2026年4月18日</w:t>
      </w:r>
    </w:p>
    <w:p w14:paraId="15284762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本说明文件基于项目经营管理过程中发现的财务异常情况整理形成，重点围绕项目启动后资金流向、合作主体履约、平台收入结算、库存占用及服务收费等事项进行梳理。相关主体名称、资金数据及业务细节均已进行调整和重构，旨在对经营异常形成较为完整的事实性说明，便于后续内部复核、沟通协商及公开交流使用。</w:t>
      </w:r>
    </w:p>
    <w:p w14:paraId="22150AB1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本文件所述内容主要来源于项目台账、往来对账记录、阶段性运营报表及合作沟通过程中形成的资料。由于部分原始凭证仍需进一步补充核验，本文不对最终责任进行定性判断，仅对已发现的异常线索、业务影响及后续建议作出说明。</w:t>
      </w:r>
    </w:p>
    <w:p w14:paraId="789703E3">
      <w:pPr>
        <w:spacing w:after="80"/>
        <w:jc w:val="center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3550920" cy="2663190"/>
            <wp:effectExtent l="0" t="0" r="11430" b="3810"/>
            <wp:docPr id="4" name="图片 4" descr="F76A3BB73B1E489476ACDAAD2909A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76A3BB73B1E489476ACDAAD2909A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CC8215">
      <w:pPr>
        <w:spacing w:after="240"/>
        <w:jc w:val="center"/>
      </w:pPr>
      <w:r>
        <w:rPr>
          <w:rFonts w:ascii="宋体" w:hAnsi="宋体" w:eastAsia="宋体"/>
          <w:sz w:val="21"/>
        </w:rPr>
        <w:t>图1：项目资金流转示意图</w:t>
      </w:r>
    </w:p>
    <w:p w14:paraId="5695DDDB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从资金流转路径看，投资方资金首先进入项目主体账户，再根据采购计划、物流配送、平台服务及日常运营需要向外部或关联主体支付。异常集中出现在付款审批依据不足、结算回款周期拉长以及费用科目边界不清等环节，导致项目账户难以及时反映真实经营成果。</w:t>
      </w:r>
    </w:p>
    <w:p w14:paraId="26C532C0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一、项目背景</w:t>
      </w:r>
    </w:p>
    <w:p w14:paraId="79BC2AA2">
      <w:pPr>
        <w:spacing w:after="120" w:line="348" w:lineRule="auto"/>
        <w:ind w:firstLine="460"/>
      </w:pPr>
      <w:r>
        <w:rPr>
          <w:rFonts w:hint="eastAsia"/>
          <w:sz w:val="23"/>
          <w:lang w:eastAsia="zh-CN"/>
        </w:rPr>
        <w:t>华中区域</w:t>
      </w:r>
      <w:r>
        <w:rPr>
          <w:rFonts w:ascii="宋体" w:hAnsi="宋体" w:eastAsia="宋体"/>
          <w:sz w:val="23"/>
        </w:rPr>
        <w:t>零售项目于2025年启动运营，项目定位为覆盖周边社区消费需求的综合零售门店，并同步接入线上销售渠道。合作初期，双方约定由运营方负责商品采购、供应链对接、物流统筹及系统支持，投资方负责项目启动资金投入、本地门店管理和日常经营协调。按照原计划，项目应在完成首轮铺货后逐步形成稳定销售回款，并以月度对账作为后续采购、费用分摊和收益结算的主要依据。</w:t>
      </w:r>
    </w:p>
    <w:p w14:paraId="53EDC8EF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在项目推进过程中，门店开业、备货、促销投放及平台上线等事项集中发生，短期内对现金流提出了较高要求。正常情况下，采购付款应与采购订单、入库验收、销售回款及发票资料相互匹配，确保资金支出与实际经营活动保持一致。但从后续资料看，部分款项在货物交付或服务确认前已提前支付，部分平台订单收入未按约定周期回到项目主体账户，个别服务费用还存在重复计提或计费依据不足的问题。</w:t>
      </w:r>
    </w:p>
    <w:p w14:paraId="640F6951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上述情况并非单一节点问题，而是伴随项目扩张和运营分工变化逐步显现。由于采购、仓储、平台收款和门店管理分别由不同主体参与，信息同步不及时会直接影响资金使用效率；若结算责任、审批边界和资料留存没有同步完善，则容易形成账面挂账、实际资金占用与经营成果不一致的局面。</w:t>
      </w:r>
    </w:p>
    <w:p w14:paraId="41B2BB07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二、主要关联主体情况</w:t>
      </w:r>
    </w:p>
    <w:p w14:paraId="41B34FBB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根据目前掌握的资料，项目涉及的关联主体主要包括运营方、供应链协同方、平台代运营方及项目主体。各主体在业务链条中承担不同职能，但由于采购计划、平台收款与费用结算之间存在交叉，部分交易在执行层面出现了职责边界不清的情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2049"/>
        <w:gridCol w:w="4084"/>
      </w:tblGrid>
      <w:tr w14:paraId="105B6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4DC59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主体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721AA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AF1F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关联说明</w:t>
            </w:r>
          </w:p>
        </w:tc>
      </w:tr>
      <w:tr w14:paraId="2D82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817D08C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eastAsia="zh-CN"/>
              </w:rPr>
              <w:t>华梅商业运营有限公司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C4049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项目运营方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BEA07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负责采购计划、门店运营指导及阶段性费用核算</w:t>
            </w:r>
          </w:p>
        </w:tc>
      </w:tr>
      <w:tr w14:paraId="423B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76B4675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eastAsia="zh-CN"/>
              </w:rPr>
              <w:t>云囍供应链有限公司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895A37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物流协同方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F19B0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负责仓储配送、到货协调及部分供应商对接</w:t>
            </w:r>
          </w:p>
        </w:tc>
      </w:tr>
      <w:tr w14:paraId="2D29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B6C76FC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eastAsia="zh-CN"/>
              </w:rPr>
              <w:t>嘉笔数字商贸有限公司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5852F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平台代运营方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48A6E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负责线上渠道上架、订单收款及平台结算管理</w:t>
            </w:r>
          </w:p>
        </w:tc>
      </w:tr>
      <w:tr w14:paraId="5CC6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8420E3C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sz w:val="21"/>
                <w:lang w:eastAsia="zh-CN"/>
              </w:rPr>
              <w:t>远艘零售项目部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2CB59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项目主体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A3568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负责合作经营门店、本地管理及经营资料归集</w:t>
            </w:r>
          </w:p>
        </w:tc>
      </w:tr>
      <w:tr w14:paraId="0C49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1751E0C">
            <w:pPr>
              <w:spacing w:after="0" w:line="240" w:lineRule="auto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1"/>
                <w:lang w:eastAsia="zh-CN"/>
              </w:rPr>
              <w:t>安莫管理咨询中心</w:t>
            </w:r>
          </w:p>
        </w:tc>
        <w:tc>
          <w:tcPr>
            <w:tcW w:w="216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F3099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财务协查方</w:t>
            </w:r>
          </w:p>
        </w:tc>
        <w:tc>
          <w:tcPr>
            <w:tcW w:w="432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413F8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协助整理往来台账、对账资料及费用科目说明</w:t>
            </w:r>
          </w:p>
        </w:tc>
      </w:tr>
    </w:tbl>
    <w:p w14:paraId="6A5E7E0D">
      <w:pPr>
        <w:spacing w:after="40"/>
      </w:pPr>
    </w:p>
    <w:p w14:paraId="7D9780C1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从现有记录看，运营方对采购节奏、商品结构和部分费用项目具有较强影响力；供应链协同方掌握仓储与配送环节资料；平台代运营方则掌握线上订单、退货、佣金及结算周期等数据。项目主体虽然承担门店实际经营管理，但在部分关键数据的取得上依赖其他合作主体提供，因此对资金流向和收入回款的实时掌握不足。</w:t>
      </w:r>
    </w:p>
    <w:p w14:paraId="76AF1F73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由于合作关系涉及多方协同，若各主体之间没有建立统一的对账口径，后续核查时容易出现同一笔费用在不同台账中名称不一致、金额口径不一致或确认时间不一致等问题。此类差异会影响项目现金流判断，也会增加后续追溯和责任划分的难度。</w:t>
      </w:r>
    </w:p>
    <w:p w14:paraId="3D3B9233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三、异常资金往来情况</w:t>
      </w:r>
    </w:p>
    <w:p w14:paraId="1B4E2019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经对项目账户、采购台账、平台结算记录及内部往来表进行初步比对，项目在运营初期存在频繁提前付款、长期挂账、平台销售收入未及时回流以及服务费重复计提等问题。相关款项虽然均与项目经营活动存在一定关联，但部分支出缺少完整的审批资料、验收依据或结算说明，导致资金流向与业务实质之间出现偏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003"/>
        <w:gridCol w:w="1553"/>
        <w:gridCol w:w="3851"/>
      </w:tblGrid>
      <w:tr w14:paraId="1C0B2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855F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DB7B8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业务类型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F5EB7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金额（万元）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8322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773B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0522B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2025-01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BD122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开办筹备款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869B6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85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C6CE0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用于门店筹建及系统接入，部分明细资料需补充</w:t>
            </w:r>
          </w:p>
        </w:tc>
      </w:tr>
      <w:tr w14:paraId="494E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CB401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2025-02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4D6BA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预付款项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92089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320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4C9C5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提前支付供应链资金，货物交付节奏与付款进度不完全匹配</w:t>
            </w:r>
          </w:p>
        </w:tc>
      </w:tr>
      <w:tr w14:paraId="5570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45A03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2025-03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EF5C7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平台结算挂账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699AA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118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FBF35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线上订单收入未按约定周期返还至项目主体账户</w:t>
            </w:r>
          </w:p>
        </w:tc>
      </w:tr>
      <w:tr w14:paraId="4E1E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11559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2025-04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709AA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物流代垫费用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23146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52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5638E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部分配送回单及分摊依据保存不完整</w:t>
            </w:r>
          </w:p>
        </w:tc>
      </w:tr>
      <w:tr w14:paraId="3DFD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8284E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2025-05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65497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运营服务费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E6D09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76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30D45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存在固定服务费与订单服务费重复计提情形</w:t>
            </w:r>
          </w:p>
        </w:tc>
      </w:tr>
      <w:tr w14:paraId="3CF4C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207F1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2025-06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7B1C9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促销费用分摊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DDE69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44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2DCD5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费用归属期间与活动确认资料存在差异</w:t>
            </w:r>
          </w:p>
        </w:tc>
      </w:tr>
      <w:tr w14:paraId="5D005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09E17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2025-08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DE067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资金调拨</w:t>
            </w:r>
          </w:p>
        </w:tc>
        <w:tc>
          <w:tcPr>
            <w:tcW w:w="172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BB4C3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210</w:t>
            </w:r>
          </w:p>
        </w:tc>
        <w:tc>
          <w:tcPr>
            <w:tcW w:w="446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633D2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内部账户周转用途需进一步核验</w:t>
            </w:r>
          </w:p>
        </w:tc>
      </w:tr>
    </w:tbl>
    <w:p w14:paraId="4C8D60AE">
      <w:pPr>
        <w:spacing w:after="40"/>
      </w:pPr>
    </w:p>
    <w:p w14:paraId="753985DF">
      <w:pPr>
        <w:keepNext/>
        <w:keepLines/>
        <w:spacing w:before="120" w:after="80"/>
      </w:pPr>
      <w:r>
        <w:rPr>
          <w:rFonts w:ascii="微软雅黑" w:hAnsi="微软雅黑" w:eastAsia="微软雅黑"/>
          <w:b/>
          <w:color w:val="2D5D91"/>
          <w:sz w:val="24"/>
        </w:rPr>
        <w:t>（一）提前付款情况</w:t>
      </w:r>
    </w:p>
    <w:p w14:paraId="7C959059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项目启动阶段，运营方以锁定货源、保障开业铺货为由提出较大规模预付款需求。预付款安排本身在零售项目中并非异常，但应当与采购合同、供货清单、入库单及后续销售计划保持对应。现有资料显示，部分款项在到货验收前已完成支付，且后续到货批次、商品品类及结算发票未能及时闭合，造成账面预付款余额较高。</w:t>
      </w:r>
    </w:p>
    <w:p w14:paraId="3DD5A8C0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提前付款直接压缩了项目主体可调度资金，影响门店日常补货、人员支出和营销活动安排。当预付款无法在合理周期内转化为可销售库存或明确应收款时，资金占用风险会进一步扩大。</w:t>
      </w:r>
    </w:p>
    <w:p w14:paraId="2138456C">
      <w:pPr>
        <w:keepNext/>
        <w:keepLines/>
        <w:spacing w:before="120" w:after="80"/>
      </w:pPr>
      <w:r>
        <w:rPr>
          <w:rFonts w:ascii="微软雅黑" w:hAnsi="微软雅黑" w:eastAsia="微软雅黑"/>
          <w:b/>
          <w:color w:val="2D5D91"/>
          <w:sz w:val="24"/>
        </w:rPr>
        <w:t>（二）平台收入回流滞后情况</w:t>
      </w:r>
    </w:p>
    <w:p w14:paraId="3E54C625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线上渠道销售原本应作为门店现金流的重要补充，但实际执行中，部分订单收入先进入平台代运营主体账户，再由其根据内部规则进行延后结算。由于项目主体未能同步获取完整的订单明细、退款记录、平台扣点及结算凭证，导致部分收入长期停留在往来科目中，无法及时确认为项目可使用资金。</w:t>
      </w:r>
    </w:p>
    <w:p w14:paraId="7849B26B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平台收入回流滞后使项目经营成果在账面上被弱化：门店前端虽然产生销售，但项目账户无法按时收到对应款项，造成销售数据与现金流表现不一致。这一差异也影响后续判断采购规模、库存周转及利润测算的准确性。</w:t>
      </w:r>
    </w:p>
    <w:p w14:paraId="77A8ADC1">
      <w:pPr>
        <w:keepNext/>
        <w:keepLines/>
        <w:spacing w:before="120" w:after="80"/>
      </w:pPr>
      <w:r>
        <w:rPr>
          <w:rFonts w:ascii="微软雅黑" w:hAnsi="微软雅黑" w:eastAsia="微软雅黑"/>
          <w:b/>
          <w:color w:val="2D5D91"/>
          <w:sz w:val="24"/>
        </w:rPr>
        <w:t>（三）重复收费及费用边界不清情况</w:t>
      </w:r>
    </w:p>
    <w:p w14:paraId="1AB0EDB0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在费用核算方面，部分运营服务费既按固定管理服务费列支，又在订单服务、系统支持或促销协同中再次分摊，存在同一管理职能被重复计入不同科目的风险。对于此类费用，应进一步区分基础服务、增值服务、实际垫付和内部管理成本，避免因科目拆分不清导致项目主体承担额外支出。</w:t>
      </w:r>
    </w:p>
    <w:p w14:paraId="3726DE93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四、业务流程变化说明</w:t>
      </w:r>
    </w:p>
    <w:p w14:paraId="43176112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根据合作初期约定，项目货款应以月度对账为基础进行统一结算。一般流程应包括：运营方提出采购计划，项目主体确认预算及采购范围，供应链主体完成发货和入库交接，门店形成销售或库存记录后，再根据验收结果、销售回款及票据资料进行付款确认。该流程的核心在于“订单、入库、销售、回款、发票”之间形成完整闭环。</w:t>
      </w:r>
    </w:p>
    <w:p w14:paraId="68F4F54C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实际执行过程中，项目流程出现了较明显的前置化和集中化变化。其一，采购付款被提前至货物未完全交付前，导致资金先于业务结果发生；其二，线上渠道订单收入不直接进入项目主体账户，而由代运营主体集中收取后延后结算；其三，部分费用由运营方或协同方先行列示，再要求项目主体按比例承担，但费用形成依据、分摊规则和审批记录并不完整。</w:t>
      </w:r>
    </w:p>
    <w:p w14:paraId="41600085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流程变化本身并不必然导致异常，但应当配套形成书面变更记录、明确授权范围以及对应的对账机制。若仍沿用合作初期的简单审批方式，却在实际运营中增加了代收、代付、垫付和分摊等复杂安排，就会造成项目主体对资金走向的控制能力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2283"/>
        <w:gridCol w:w="2647"/>
        <w:gridCol w:w="2283"/>
      </w:tblGrid>
      <w:tr w14:paraId="5775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4B598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流程环节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C391D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原约定方式</w:t>
            </w:r>
          </w:p>
        </w:tc>
        <w:tc>
          <w:tcPr>
            <w:tcW w:w="302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B0CD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实际执行变化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37EAB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可能影响</w:t>
            </w:r>
          </w:p>
        </w:tc>
      </w:tr>
      <w:tr w14:paraId="72317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1F2C32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采购付款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03F65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按月对账后根据验收结果付款</w:t>
            </w:r>
          </w:p>
        </w:tc>
        <w:tc>
          <w:tcPr>
            <w:tcW w:w="302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B5E20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部分款项提前支付，且到货资料滞后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F6976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形成预付款占用，增加资金压力</w:t>
            </w:r>
          </w:p>
        </w:tc>
      </w:tr>
      <w:tr w14:paraId="3146C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3D49F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平台收款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F99D9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销售收入应归集至项目主体账户</w:t>
            </w:r>
          </w:p>
        </w:tc>
        <w:tc>
          <w:tcPr>
            <w:tcW w:w="302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CFE12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代运营主体集中收取后延迟结算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4665F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账面收入与实际现金回流不匹配</w:t>
            </w:r>
          </w:p>
        </w:tc>
      </w:tr>
      <w:tr w14:paraId="00E5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8EF41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费用分摊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C42678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按合同约定列支并附明细</w:t>
            </w:r>
          </w:p>
        </w:tc>
        <w:tc>
          <w:tcPr>
            <w:tcW w:w="302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59CF7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部分服务费用按多个科目重复列示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96CBAC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导致成本口径偏高，利润测算失真</w:t>
            </w:r>
          </w:p>
        </w:tc>
      </w:tr>
      <w:tr w14:paraId="32A4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31FAD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资料留存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A0B97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合同、订单、票据与台账同步归档</w:t>
            </w:r>
          </w:p>
        </w:tc>
        <w:tc>
          <w:tcPr>
            <w:tcW w:w="302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48622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部分回单、结算单及审批记录缺失</w:t>
            </w:r>
          </w:p>
        </w:tc>
        <w:tc>
          <w:tcPr>
            <w:tcW w:w="259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CAC95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增加后续核查难度</w:t>
            </w:r>
          </w:p>
        </w:tc>
      </w:tr>
    </w:tbl>
    <w:p w14:paraId="7D5AADA3">
      <w:pPr>
        <w:spacing w:after="40"/>
      </w:pPr>
    </w:p>
    <w:p w14:paraId="493BA116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因此，后续核查不应只关注单笔资金是否发生，还应同步审查资金发生前后的业务依据是否完整、审批权限是否合规、收付款账户是否与合同主体一致，以及相关费用是否存在重复归集或跨期确认。</w:t>
      </w:r>
    </w:p>
    <w:p w14:paraId="25ABFEAF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五、库存与资金需求分析</w:t>
      </w:r>
    </w:p>
    <w:p w14:paraId="3C2F3CF7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库存规模与资金需求是判断零售项目现金流健康程度的重要指标。项目启动后，为保障门店开业和线上渠道铺货，前期库存规模保持在较高水平；但在销售回款滞后、补货节奏调整不及时的情况下，库存占用并未快速下降，反而与预付款、平台挂账共同形成资金压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2041"/>
        <w:gridCol w:w="2162"/>
        <w:gridCol w:w="3495"/>
      </w:tblGrid>
      <w:tr w14:paraId="21FC9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B1760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月份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817F0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库存规模（万元）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E1DE1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预计资金需求（万元）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EA203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情况说明</w:t>
            </w:r>
          </w:p>
        </w:tc>
      </w:tr>
      <w:tr w14:paraId="7903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95ACB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6月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729C4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410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8A3E2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205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60A884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开业后备货规模较高，部分商品周转速度低于预期</w:t>
            </w:r>
          </w:p>
        </w:tc>
      </w:tr>
      <w:tr w14:paraId="3C0C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4D2A2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25948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395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51915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198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D36F7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库存略有下降，但平台回款仍未完全归集</w:t>
            </w:r>
          </w:p>
        </w:tc>
      </w:tr>
      <w:tr w14:paraId="07448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5EF9C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8月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8EE81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382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EC255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191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125754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存货结构开始调整，慢销品占用仍较明显</w:t>
            </w:r>
          </w:p>
        </w:tc>
      </w:tr>
      <w:tr w14:paraId="520D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2CCF8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9月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35A29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401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4BA66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C33B7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节前备货增加，采购资金需求阶段性上升</w:t>
            </w:r>
          </w:p>
        </w:tc>
      </w:tr>
      <w:tr w14:paraId="00A0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447E6D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10月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FE0CB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376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34CD9C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188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61624D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促销后库存回落，但费用结算尚未完全确认</w:t>
            </w:r>
          </w:p>
        </w:tc>
      </w:tr>
      <w:tr w14:paraId="5F8C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7DDA5E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11月</w:t>
            </w:r>
          </w:p>
        </w:tc>
        <w:tc>
          <w:tcPr>
            <w:tcW w:w="230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20EB7BE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358</w:t>
            </w:r>
          </w:p>
        </w:tc>
        <w:tc>
          <w:tcPr>
            <w:tcW w:w="244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0460FF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179</w:t>
            </w:r>
          </w:p>
        </w:tc>
        <w:tc>
          <w:tcPr>
            <w:tcW w:w="4032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  <w:insideH w:val="single" w:sz="6" w:space="0"/>
              <w:insideV w:val="single" w:sz="6" w:space="0"/>
            </w:tcBorders>
            <w:vAlign w:val="center"/>
          </w:tcPr>
          <w:p w14:paraId="5280E0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库存压力有所缓解，仍需配合应收款清理</w:t>
            </w:r>
          </w:p>
        </w:tc>
      </w:tr>
    </w:tbl>
    <w:p w14:paraId="46D3E34E">
      <w:pPr>
        <w:spacing w:after="40"/>
      </w:pPr>
    </w:p>
    <w:p w14:paraId="0CF6E253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从月度数据看，项目库存规模虽有波动下降趋势，但下降速度不及资金占用改善速度。造成该现象的原因主要包括：部分商品已入库但销售转化不足，线上订单销售收入未及时回流，促销费用和物流费用在结算期内集中确认，以及前期预付款尚未全部对应到可核验的商品或服务。</w:t>
      </w:r>
    </w:p>
    <w:p w14:paraId="55642B53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若仅以库存余额判断项目经营状况，容易忽视平台挂账和费用待确认对现金流的影响。更合理的分析方式应将库存、应收平台款、预付款、未结费用及银行可用余额合并观察，形成项目资金占用总表，再据此判断后续是否具备正常补货、费用支付和经营周转能力。</w:t>
      </w:r>
    </w:p>
    <w:p w14:paraId="18E6444F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根据目前情况，项目短期资金需求主要来自三方面：一是维持门店基础库存所需的补货资金；二是等待平台收入结算期间的周转资金；三是处理历史费用、物流分摊和服务费复核所需的准备金。若不及时完成收入回流和费用清理，项目可能继续面临“有销售但账户现金不足”的经营压力。</w:t>
      </w:r>
    </w:p>
    <w:p w14:paraId="5B6DE21B">
      <w:pPr>
        <w:pStyle w:val="3"/>
        <w:keepNext/>
        <w:keepLines/>
        <w:spacing w:before="280" w:after="160" w:line="276" w:lineRule="auto"/>
      </w:pPr>
      <w:r>
        <w:rPr>
          <w:rFonts w:ascii="微软雅黑" w:hAnsi="微软雅黑" w:eastAsia="微软雅黑"/>
          <w:b/>
          <w:color w:val="2D5D91"/>
          <w:sz w:val="32"/>
        </w:rPr>
        <w:t>六、综合说明</w:t>
      </w:r>
    </w:p>
    <w:p w14:paraId="18E66B00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综合现有业务记录、财务往来及内部台账情况，相关异常主要集中在提前付款、平台收入回流滞后、重复服务收费、费用分摊依据不足以及资料归档不完整等方面。上述事项相互叠加后，对项目经营现金流产生较大影响，也降低了各合作主体之间的对账效率。</w:t>
      </w:r>
    </w:p>
    <w:p w14:paraId="710760B1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从经营影响看，提前付款使项目主体在货物或服务尚未充分确认前即承担资金支出；平台收入回流滞后使销售成果无法及时转化为可支配资金；重复收费及费用边界不清则可能导致成本被高估，进而影响项目盈利判断和后续收益分配。若上述问题长期存在，将不利于合作关系稳定，也会增加项目后续融资、结算及审计沟通的难度。</w:t>
      </w:r>
    </w:p>
    <w:p w14:paraId="1E03C644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基于现阶段资料，建议后续重点开展以下工作：第一，对2025年1月至11月期间所有大额资金往来逐笔建立索引，按照合同、订单、入库、发票、回款及审批资料进行匹配；第二，要求平台代运营主体提供完整订单流水、退款明细、平台扣费及结算凭证，明确应返还项目主体的款项余额；第三，对运营服务费、系统服务费、促销费和物流费进行科目重分类，剔除重复计费或依据不足的费用；第四，建立项目专用收支账户或资金共管机制，避免收入和支出长期分散在多个主体账户中。</w:t>
      </w:r>
    </w:p>
    <w:p w14:paraId="7D4326B8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同时，建议在内部管理层面完善付款审批流程。凡涉及预付款、代付款、费用分摊和跨主体资金调拨的，应当形成书面申请、预算依据、业务说明和复核意见；涉及线上平台收入的，应约定固定结算日和逾期说明机制；涉及库存调整的，应将滞销品处置、促销折让和补货预算一并纳入月度经营会议审议。</w:t>
      </w:r>
    </w:p>
    <w:p w14:paraId="43B852C5">
      <w:pPr>
        <w:spacing w:after="120" w:line="348" w:lineRule="auto"/>
        <w:ind w:firstLine="460"/>
      </w:pPr>
      <w:r>
        <w:rPr>
          <w:rFonts w:ascii="宋体" w:hAnsi="宋体" w:eastAsia="宋体"/>
          <w:sz w:val="23"/>
        </w:rPr>
        <w:t>本说明书所列事项属于阶段性整理结果，后续仍需结合原始凭证、银行流水、平台后台数据及合同文本进一步核验。若相关主体能够及时补充资料并完成对账，部分挂账或费用差异可通过账务调整予以处理；若无法提供充分依据，则应将相关款项列入专项核查范围，并根据核查结果确定追偿、抵扣或调整方案。</w:t>
      </w:r>
    </w:p>
    <w:p w14:paraId="05C58C13">
      <w:pPr>
        <w:spacing w:before="360"/>
        <w:jc w:val="right"/>
        <w:rPr>
          <w:rFonts w:hint="eastAsia" w:eastAsia="宋体"/>
          <w:lang w:eastAsia="zh-CN"/>
        </w:rPr>
      </w:pPr>
      <w:r>
        <w:rPr>
          <w:rFonts w:ascii="宋体" w:hAnsi="宋体" w:eastAsia="宋体"/>
          <w:sz w:val="23"/>
        </w:rPr>
        <w:t>说明人：</w:t>
      </w:r>
      <w:r>
        <w:rPr>
          <w:rFonts w:hint="eastAsia"/>
          <w:sz w:val="23"/>
          <w:lang w:eastAsia="zh-CN"/>
        </w:rPr>
        <w:t>林远芝</w:t>
      </w:r>
    </w:p>
    <w:p w14:paraId="576A2D3A">
      <w:pPr>
        <w:jc w:val="right"/>
      </w:pPr>
      <w:r>
        <w:rPr>
          <w:rFonts w:ascii="宋体" w:hAnsi="宋体" w:eastAsia="宋体"/>
          <w:sz w:val="23"/>
        </w:rPr>
        <w:t>2026年05月20日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5171E"/>
    <w:rsid w:val="318D794D"/>
    <w:rsid w:val="60520412"/>
    <w:rsid w:val="69C2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D5D91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7</Pages>
  <Words>3314</Words>
  <Characters>3387</Characters>
  <Lines>0</Lines>
  <Paragraphs>0</Paragraphs>
  <TotalTime>22</TotalTime>
  <ScaleCrop>false</ScaleCrop>
  <LinksUpToDate>false</LinksUpToDate>
  <CharactersWithSpaces>3387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