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ASSET PURCHASE AGREEMENT — SUMMARY TERM SHEET</w:t>
      </w:r>
    </w:p>
    <w:p>
      <w:r>
        <w:t xml:space="preserve">This term sheet summarizes the principal terms for the acquisition of Widget Manufacturing Co.</w:t>
      </w:r>
    </w:p>
    <w:p>
      <w:pPr>
        <w:pStyle w:val="Heading2"/>
      </w:pPr>
      <w:r>
        <w:t xml:space="preserve">Parties</w:t>
      </w:r>
    </w:p>
    <w:p>
      <w:r>
        <w:t xml:space="preserve">Buyer: Consolidated Industries Inc. ("Buyer")</w:t>
      </w:r>
    </w:p>
    <w:p>
      <w:r>
        <w:t xml:space="preserve">Seller: Widget Manufacturing Co. ("Seller" or the "Company")</w:t>
      </w:r>
    </w:p>
    <w:p>
      <w:pPr>
        <w:pStyle w:val="Heading2"/>
      </w:pPr>
      <w:r>
        <w:t xml:space="preserve">Transaction Structure</w:t>
      </w:r>
    </w:p>
    <w:p>
      <w:r>
        <w:t xml:space="preserve">The Buyer will acquire substantially all assets of the Company, excluding (a) cash and cash equivalents, (b) tax refunds relating to pre-closing periods, and (c) the Excluded Contracts listed in Schedule 2.</w:t>
      </w:r>
    </w:p>
    <w:p>
      <w:pPr>
        <w:pStyle w:val="Heading2"/>
      </w:pPr>
      <w:r>
        <w:t xml:space="preserve">Purchase Price</w:t>
      </w:r>
    </w:p>
    <w:p>
      <w:r>
        <w:t xml:space="preserve">Base purchase price of $15,000,000, subject to customary working capital adjustment.</w:t>
      </w:r>
    </w:p>
    <w:p>
      <w:r>
        <w:t xml:space="preserve">The purchase price shall be paid as follows: (i) $12,000,000 in cash at closing, (ii) $2,000,000 deposited into escrow for 12 months, and (iii) $1,000,000 in the form of a promissory note payable over 24 months.</w:t>
      </w:r>
    </w:p>
    <w:p>
      <w:pPr>
        <w:pStyle w:val="Heading2"/>
      </w:pPr>
      <w:r>
        <w:t xml:space="preserve">Representations and Warranties</w:t>
      </w:r>
    </w:p>
    <w:p>
      <w:r>
        <w:t xml:space="preserve">Seller shall make customary representations regarding: organization and authority, title to assets, financial statements, absence of undisclosed liabilities, compliance with laws, material contracts, intellectual property, employee matters, environmental matters, tax matters, and litigation.</w:t>
      </w:r>
    </w:p>
    <w:p>
      <w:r>
        <w:t xml:space="preserve">Buyer shall make representations regarding: organization and authority, financing, and absence of litigation affecting ability to close.</w:t>
      </w:r>
    </w:p>
    <w:p>
      <w:pPr>
        <w:pStyle w:val="Heading2"/>
      </w:pPr>
      <w:r>
        <w:t xml:space="preserve">Indemnification</w:t>
      </w:r>
    </w:p>
    <w:p>
      <w:r>
        <w:t xml:space="preserve">Seller shall indemnify Buyer for breaches of representations and warranties, subject to: (a) an aggregate deductible basket of $250,000, (b) a cap of $7,500,000 (50% of purchase price), and (c) a survival period of 18 months post-closing.</w:t>
      </w:r>
    </w:p>
    <w:p>
      <w:r>
        <w:t xml:space="preserve">Fundamental representations (organization, authority, title) shall survive for 36 months with no cap.</w:t>
      </w:r>
    </w:p>
    <w:p>
      <w:pPr>
        <w:pStyle w:val="Heading2"/>
      </w:pPr>
      <w:r>
        <w:t xml:space="preserve">Closing Conditions</w:t>
      </w:r>
    </w:p>
    <w:p>
      <w:r>
        <w:t xml:space="preserve">Conditions to closing include: (a) accuracy of representations at closing, (b) HSR clearance, (c) no material adverse change, (d) receipt of key third-party consents listed in Schedule 3, and (e) completion of financing.</w:t>
      </w:r>
    </w:p>
    <w:p>
      <w:pPr>
        <w:pStyle w:val="Heading2"/>
      </w:pPr>
      <w:r>
        <w:t xml:space="preserve">Governing Law</w:t>
      </w:r>
    </w:p>
    <w:p>
      <w:r>
        <w:t xml:space="preserve">This Agreement shall be governed by the laws of the State of Delaware.</w:t>
      </w:r>
    </w:p>
    <w:p>
      <w:pPr>
        <w:pStyle w:val="Heading2"/>
      </w:pPr>
      <w:r>
        <w:t xml:space="preserve">Exclusivity</w:t>
      </w:r>
    </w:p>
    <w:p>
      <w:r>
        <w:t xml:space="preserve">Seller agrees to a 60-day exclusivity period from the execution of this term sheet.</w:t>
      </w:r>
    </w:p>
    <w:sectPr/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