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Attention Is All You Need</w:t>
      </w:r>
    </w:p>
    <w:p>
      <w:pPr>
        <w:jc w:val="center"/>
      </w:pPr>
      <w:r>
        <w:t>Evidence-based reference summary of the supplied paper</w:t>
      </w:r>
    </w:p>
    <w:p>
      <w:pPr>
        <w:pStyle w:val="Heading1"/>
      </w:pPr>
      <w:r>
        <w:t>1. Paper information and purpose</w:t>
      </w:r>
    </w:p>
    <w:p>
      <w:r>
        <w:t>Vaswani et al., presented at the 31st Conference on Neural Information Processing Systems (NIPS 2017), address the sequential-computation bottleneck in recurrent sequence-transduction models. The paper evaluates whether an encoder-decoder can rely entirely on attention while improving translation quality and training parallelism.</w:t>
      </w:r>
    </w:p>
    <w:tbl>
      <w:tblPr>
        <w:tblStyle w:val="TableGrid"/>
        <w:tblW w:type="auto" w:w="0"/>
        <w:jc w:val="center"/>
        <w:tblLook w:firstColumn="1" w:firstRow="1" w:lastColumn="0" w:lastRow="0" w:noHBand="0" w:noVBand="1" w:val="04A0"/>
      </w:tblPr>
      <w:tblGrid>
        <w:gridCol w:w="4986"/>
        <w:gridCol w:w="4986"/>
      </w:tblGrid>
      <w:tr>
        <w:tc>
          <w:tcPr>
            <w:tcW w:type="dxa" w:w="4986"/>
          </w:tcPr>
          <w:p>
            <w:r>
              <w:t>Item</w:t>
            </w:r>
          </w:p>
        </w:tc>
        <w:tc>
          <w:tcPr>
            <w:tcW w:type="dxa" w:w="4986"/>
          </w:tcPr>
          <w:p>
            <w:r>
              <w:t>Source-backed detail</w:t>
            </w:r>
          </w:p>
        </w:tc>
      </w:tr>
      <w:tr>
        <w:tc>
          <w:tcPr>
            <w:tcW w:type="dxa" w:w="4986"/>
          </w:tcPr>
          <w:p>
            <w:r>
              <w:t>Authors</w:t>
            </w:r>
          </w:p>
        </w:tc>
        <w:tc>
          <w:tcPr>
            <w:tcW w:type="dxa" w:w="4986"/>
          </w:tcPr>
          <w:p>
            <w:r>
              <w:t>Ashish Vaswani; Noam Shazeer; Niki Parmar; Jakob Uszkoreit; Llion Jones; Aidan N. Gomez; Lukasz Kaiser; Illia Polosukhin</w:t>
            </w:r>
          </w:p>
        </w:tc>
      </w:tr>
      <w:tr>
        <w:tc>
          <w:tcPr>
            <w:tcW w:type="dxa" w:w="4986"/>
          </w:tcPr>
          <w:p>
            <w:r>
              <w:t>Primary tasks</w:t>
            </w:r>
          </w:p>
        </w:tc>
        <w:tc>
          <w:tcPr>
            <w:tcW w:type="dxa" w:w="4986"/>
          </w:tcPr>
          <w:p>
            <w:r>
              <w:t>WMT 2014 English-to-German and English-to-French machine translation</w:t>
            </w:r>
          </w:p>
        </w:tc>
      </w:tr>
      <w:tr>
        <w:tc>
          <w:tcPr>
            <w:tcW w:type="dxa" w:w="4986"/>
          </w:tcPr>
          <w:p>
            <w:r>
              <w:t>Central proposal</w:t>
            </w:r>
          </w:p>
        </w:tc>
        <w:tc>
          <w:tcPr>
            <w:tcW w:type="dxa" w:w="4986"/>
          </w:tcPr>
          <w:p>
            <w:r>
              <w:t>The Transformer, based solely on attention mechanisms, dispensing with recurrence and convolutions</w:t>
            </w:r>
          </w:p>
        </w:tc>
      </w:tr>
    </w:tbl>
    <w:p>
      <w:pPr>
        <w:pStyle w:val="Heading1"/>
      </w:pPr>
      <w:r>
        <w:t>2. Core contribution</w:t>
      </w:r>
    </w:p>
    <w:p>
      <w:r>
        <w:t>The Transformer retains the encoder-decoder structure but replaces recurrent and convolutional sequence processing with stacked self-attention and position-wise feed-forward layers. This permits substantially more parallel computation during training while allowing every position to draw information from distant positions through short paths.</w:t>
      </w:r>
    </w:p>
    <w:p>
      <w:pPr>
        <w:pStyle w:val="Heading1"/>
      </w:pPr>
      <w:r>
        <w:t>3. Architecture and mechanisms</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t>Component</w:t>
            </w:r>
          </w:p>
        </w:tc>
        <w:tc>
          <w:tcPr>
            <w:tcW w:type="dxa" w:w="3324"/>
          </w:tcPr>
          <w:p>
            <w:r>
              <w:t>Reviewed configuration</w:t>
            </w:r>
          </w:p>
        </w:tc>
        <w:tc>
          <w:tcPr>
            <w:tcW w:type="dxa" w:w="3324"/>
          </w:tcPr>
          <w:p>
            <w:r>
              <w:t>Role</w:t>
            </w:r>
          </w:p>
        </w:tc>
      </w:tr>
      <w:tr>
        <w:tc>
          <w:tcPr>
            <w:tcW w:type="dxa" w:w="3324"/>
          </w:tcPr>
          <w:p>
            <w:r>
              <w:t>Encoder</w:t>
            </w:r>
          </w:p>
        </w:tc>
        <w:tc>
          <w:tcPr>
            <w:tcW w:type="dxa" w:w="3324"/>
          </w:tcPr>
          <w:p>
            <w:r>
              <w:t>N = 6 identical layers</w:t>
            </w:r>
          </w:p>
        </w:tc>
        <w:tc>
          <w:tcPr>
            <w:tcW w:type="dxa" w:w="3324"/>
          </w:tcPr>
          <w:p>
            <w:r>
              <w:t>Multi-head self-attention followed by a position-wise feed-forward network</w:t>
            </w:r>
          </w:p>
        </w:tc>
      </w:tr>
      <w:tr>
        <w:tc>
          <w:tcPr>
            <w:tcW w:type="dxa" w:w="3324"/>
          </w:tcPr>
          <w:p>
            <w:r>
              <w:t>Decoder</w:t>
            </w:r>
          </w:p>
        </w:tc>
        <w:tc>
          <w:tcPr>
            <w:tcW w:type="dxa" w:w="3324"/>
          </w:tcPr>
          <w:p>
            <w:r>
              <w:t>N = 6 identical layers</w:t>
            </w:r>
          </w:p>
        </w:tc>
        <w:tc>
          <w:tcPr>
            <w:tcW w:type="dxa" w:w="3324"/>
          </w:tcPr>
          <w:p>
            <w:r>
              <w:t>Masked self-attention, encoder-decoder attention, and feed-forward network</w:t>
            </w:r>
          </w:p>
        </w:tc>
      </w:tr>
      <w:tr>
        <w:tc>
          <w:tcPr>
            <w:tcW w:type="dxa" w:w="3324"/>
          </w:tcPr>
          <w:p>
            <w:r>
              <w:t>Representation</w:t>
            </w:r>
          </w:p>
        </w:tc>
        <w:tc>
          <w:tcPr>
            <w:tcW w:type="dxa" w:w="3324"/>
          </w:tcPr>
          <w:p>
            <w:r>
              <w:t>d_model = 512; d_ff = 2048</w:t>
            </w:r>
          </w:p>
        </w:tc>
        <w:tc>
          <w:tcPr>
            <w:tcW w:type="dxa" w:w="3324"/>
          </w:tcPr>
          <w:p>
            <w:r>
              <w:t>Shared hidden width and inner feed-forward width</w:t>
            </w:r>
          </w:p>
        </w:tc>
      </w:tr>
      <w:tr>
        <w:tc>
          <w:tcPr>
            <w:tcW w:type="dxa" w:w="3324"/>
          </w:tcPr>
          <w:p>
            <w:r>
              <w:t>Multi-head attention</w:t>
            </w:r>
          </w:p>
        </w:tc>
        <w:tc>
          <w:tcPr>
            <w:tcW w:type="dxa" w:w="3324"/>
          </w:tcPr>
          <w:p>
            <w:r>
              <w:t>h = 8; d_k = d_v = 64</w:t>
            </w:r>
          </w:p>
        </w:tc>
        <w:tc>
          <w:tcPr>
            <w:tcW w:type="dxa" w:w="3324"/>
          </w:tcPr>
          <w:p>
            <w:r>
              <w:t>Attend to different representation subspaces in parallel</w:t>
            </w:r>
          </w:p>
        </w:tc>
      </w:tr>
      <w:tr>
        <w:tc>
          <w:tcPr>
            <w:tcW w:type="dxa" w:w="3324"/>
          </w:tcPr>
          <w:p>
            <w:r>
              <w:t>Stabilization</w:t>
            </w:r>
          </w:p>
        </w:tc>
        <w:tc>
          <w:tcPr>
            <w:tcW w:type="dxa" w:w="3324"/>
          </w:tcPr>
          <w:p>
            <w:r>
              <w:t>Residual connection around each sub-layer, followed by layer normalization</w:t>
            </w:r>
          </w:p>
        </w:tc>
        <w:tc>
          <w:tcPr>
            <w:tcW w:type="dxa" w:w="3324"/>
          </w:tcPr>
          <w:p>
            <w:r>
              <w:t>Supports deep stacked computation</w:t>
            </w:r>
          </w:p>
        </w:tc>
      </w:tr>
      <w:tr>
        <w:tc>
          <w:tcPr>
            <w:tcW w:type="dxa" w:w="3324"/>
          </w:tcPr>
          <w:p>
            <w:r>
              <w:t>Order</w:t>
            </w:r>
          </w:p>
        </w:tc>
        <w:tc>
          <w:tcPr>
            <w:tcW w:type="dxa" w:w="3324"/>
          </w:tcPr>
          <w:p>
            <w:r>
              <w:t>Sinusoidal positional encoding</w:t>
            </w:r>
          </w:p>
        </w:tc>
        <w:tc>
          <w:tcPr>
            <w:tcW w:type="dxa" w:w="3324"/>
          </w:tcPr>
          <w:p>
            <w:r>
              <w:t>Injects position because the model has no recurrence or convolution</w:t>
            </w:r>
          </w:p>
        </w:tc>
      </w:tr>
    </w:tbl>
    <w:p>
      <w:r>
        <w:t>Scaled dot-product attention computes compatibility from queries and keys, divides the dot products by the square root of d_k, applies softmax, and uses the resulting weights over values. The decoder mask prevents a position from attending to subsequent output positions.</w:t>
      </w:r>
    </w:p>
    <w:p>
      <w:pPr>
        <w:pStyle w:val="Heading1"/>
      </w:pPr>
      <w:r>
        <w:t>4. Why self-attention</w:t>
      </w:r>
    </w:p>
    <w:p>
      <w:r>
        <w:t>The paper compares three dimensions: per-layer complexity, minimum sequential operations, and maximum path length between positions. Full self-attention has O(n^2 d) per-layer complexity, O(1) sequential operations, and O(1) maximum path length; a recurrent layer requires O(n) sequential operations and an O(n) maximum path. The authors argue self-attention is faster than recurrence when sequence length n is smaller than representation dimension d, a common regime for the translation representations studied. They also observe that different heads can learn distinct syntactic or semantic patterns, suggesting interpretability benefits.</w:t>
      </w:r>
    </w:p>
    <w:p>
      <w:pPr>
        <w:pStyle w:val="Heading1"/>
      </w:pPr>
      <w:r>
        <w:t>5. Training and reported results</w:t>
      </w:r>
    </w:p>
    <w:tbl>
      <w:tblPr>
        <w:tblStyle w:val="TableGrid"/>
        <w:tblW w:type="auto" w:w="0"/>
        <w:jc w:val="center"/>
        <w:tblLook w:firstColumn="1" w:firstRow="1" w:lastColumn="0" w:lastRow="0" w:noHBand="0" w:noVBand="1" w:val="04A0"/>
      </w:tblPr>
      <w:tblGrid>
        <w:gridCol w:w="4986"/>
        <w:gridCol w:w="4986"/>
      </w:tblGrid>
      <w:tr>
        <w:tc>
          <w:tcPr>
            <w:tcW w:type="dxa" w:w="4986"/>
          </w:tcPr>
          <w:p>
            <w:r>
              <w:t>Evidence</w:t>
            </w:r>
          </w:p>
        </w:tc>
        <w:tc>
          <w:tcPr>
            <w:tcW w:type="dxa" w:w="4986"/>
          </w:tcPr>
          <w:p>
            <w:r>
              <w:t>Reported value</w:t>
            </w:r>
          </w:p>
        </w:tc>
      </w:tr>
      <w:tr>
        <w:tc>
          <w:tcPr>
            <w:tcW w:type="dxa" w:w="4986"/>
          </w:tcPr>
          <w:p>
            <w:r>
              <w:t>English-German data</w:t>
            </w:r>
          </w:p>
        </w:tc>
        <w:tc>
          <w:tcPr>
            <w:tcW w:type="dxa" w:w="4986"/>
          </w:tcPr>
          <w:p>
            <w:r>
              <w:t>About 4.5 million WMT 2014 sentence pairs; shared vocabulary of about 37,000 tokens</w:t>
            </w:r>
          </w:p>
        </w:tc>
      </w:tr>
      <w:tr>
        <w:tc>
          <w:tcPr>
            <w:tcW w:type="dxa" w:w="4986"/>
          </w:tcPr>
          <w:p>
            <w:r>
              <w:t>English-French data</w:t>
            </w:r>
          </w:p>
        </w:tc>
        <w:tc>
          <w:tcPr>
            <w:tcW w:type="dxa" w:w="4986"/>
          </w:tcPr>
          <w:p>
            <w:r>
              <w:t>36 million WMT 2014 sentences; 32,000 word-piece vocabulary</w:t>
            </w:r>
          </w:p>
        </w:tc>
      </w:tr>
      <w:tr>
        <w:tc>
          <w:tcPr>
            <w:tcW w:type="dxa" w:w="4986"/>
          </w:tcPr>
          <w:p>
            <w:r>
              <w:t>Hardware</w:t>
            </w:r>
          </w:p>
        </w:tc>
        <w:tc>
          <w:tcPr>
            <w:tcW w:type="dxa" w:w="4986"/>
          </w:tcPr>
          <w:p>
            <w:r>
              <w:t>One machine with 8 NVIDIA P100 GPUs</w:t>
            </w:r>
          </w:p>
        </w:tc>
      </w:tr>
      <w:tr>
        <w:tc>
          <w:tcPr>
            <w:tcW w:type="dxa" w:w="4986"/>
          </w:tcPr>
          <w:p>
            <w:r>
              <w:t>Base training</w:t>
            </w:r>
          </w:p>
        </w:tc>
        <w:tc>
          <w:tcPr>
            <w:tcW w:type="dxa" w:w="4986"/>
          </w:tcPr>
          <w:p>
            <w:r>
              <w:t>100,000 steps, about 12 hours</w:t>
            </w:r>
          </w:p>
        </w:tc>
      </w:tr>
      <w:tr>
        <w:tc>
          <w:tcPr>
            <w:tcW w:type="dxa" w:w="4986"/>
          </w:tcPr>
          <w:p>
            <w:r>
              <w:t>Big training</w:t>
            </w:r>
          </w:p>
        </w:tc>
        <w:tc>
          <w:tcPr>
            <w:tcW w:type="dxa" w:w="4986"/>
          </w:tcPr>
          <w:p>
            <w:r>
              <w:t>300,000 steps, 3.5 days</w:t>
            </w:r>
          </w:p>
        </w:tc>
      </w:tr>
      <w:tr>
        <w:tc>
          <w:tcPr>
            <w:tcW w:type="dxa" w:w="4986"/>
          </w:tcPr>
          <w:p>
            <w:r>
              <w:t>WMT 2014 English-to-German</w:t>
            </w:r>
          </w:p>
        </w:tc>
        <w:tc>
          <w:tcPr>
            <w:tcW w:type="dxa" w:w="4986"/>
          </w:tcPr>
          <w:p>
            <w:r>
              <w:t>28.4 BLEU, more than 2 BLEU above the best previously reported results including ensembles</w:t>
            </w:r>
          </w:p>
        </w:tc>
      </w:tr>
      <w:tr>
        <w:tc>
          <w:tcPr>
            <w:tcW w:type="dxa" w:w="4986"/>
          </w:tcPr>
          <w:p>
            <w:r>
              <w:t>WMT 2014 English-to-French</w:t>
            </w:r>
          </w:p>
        </w:tc>
        <w:tc>
          <w:tcPr>
            <w:tcW w:type="dxa" w:w="4986"/>
          </w:tcPr>
          <w:p>
            <w:r>
              <w:t>41.0 BLEU, a new single-model state of the art reported by the paper</w:t>
            </w:r>
          </w:p>
        </w:tc>
      </w:tr>
    </w:tbl>
    <w:p>
      <w:pPr>
        <w:pStyle w:val="Heading1"/>
      </w:pPr>
      <w:r>
        <w:t>6. Scope, limitations, and takeaway</w:t>
      </w:r>
    </w:p>
    <w:p>
      <w:r>
        <w:t>The empirical claims are demonstrated on the two machine-translation benchmarks in the supplied paper; they do not by themselves establish performance for every sequence or multimodal task. Full self-attention's O(n^2 d) complexity can be costly for very long sequences. The authors identify local or restricted attention for large inputs and outputs, extension beyond text to images, audio, and video, and making generation less sequential as future work.</w:t>
      </w:r>
    </w:p>
    <w:p>
      <w:r>
        <w:t>Takeaway: the paper shows that a carefully constructed all-attention encoder-decoder can achieve strong translation quality with greater training parallelism, establishing the architectural foundation later known as the Transformer.</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Liberation Sans" w:hAnsi="Liberation Sans"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Noto Sans CJK SC"/>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Noto Sans CJK SC"/>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Noto Sans CJK SC"/>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