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C28A9">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kern w:val="2"/>
          <w:sz w:val="24"/>
          <w:szCs w:val="24"/>
          <w:shd w:val="clear" w:fill="FFFFFF"/>
          <w:lang w:eastAsia="zh-CN"/>
        </w:rPr>
      </w:pPr>
    </w:p>
    <w:p w14:paraId="2A7E21D0">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kern w:val="2"/>
          <w:sz w:val="24"/>
          <w:szCs w:val="24"/>
          <w:shd w:val="clear" w:fill="FFFFFF"/>
          <w:lang w:eastAsia="zh-CN"/>
        </w:rPr>
      </w:pPr>
    </w:p>
    <w:p w14:paraId="431C90C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kern w:val="2"/>
          <w:sz w:val="44"/>
          <w:szCs w:val="44"/>
          <w:shd w:val="clear" w:fill="FFFFFF"/>
          <w:lang w:eastAsia="zh-CN"/>
        </w:rPr>
      </w:pPr>
      <w:r>
        <w:rPr>
          <w:rFonts w:hint="eastAsia" w:ascii="黑体" w:hAnsi="黑体" w:eastAsia="黑体" w:cs="黑体"/>
          <w:b/>
          <w:bCs/>
          <w:i w:val="0"/>
          <w:iCs w:val="0"/>
          <w:caps w:val="0"/>
          <w:color w:val="0F1115"/>
          <w:spacing w:val="0"/>
          <w:kern w:val="2"/>
          <w:sz w:val="44"/>
          <w:szCs w:val="44"/>
          <w:shd w:val="clear" w:fill="FFFFFF"/>
          <w:lang w:eastAsia="zh-CN"/>
        </w:rPr>
        <w:t>企  业  经  营  异  常  核  查  材  料</w:t>
      </w:r>
    </w:p>
    <w:p w14:paraId="282C6344">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kern w:val="2"/>
          <w:sz w:val="24"/>
          <w:szCs w:val="24"/>
          <w:shd w:val="clear" w:fill="FFFFFF"/>
          <w:lang w:eastAsia="zh-CN"/>
        </w:rPr>
      </w:pPr>
    </w:p>
    <w:p w14:paraId="0B4657C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kern w:val="2"/>
          <w:sz w:val="24"/>
          <w:szCs w:val="24"/>
          <w:shd w:val="clear" w:fill="FFFFFF"/>
          <w:lang w:eastAsia="zh-CN"/>
        </w:rPr>
      </w:pPr>
    </w:p>
    <w:p w14:paraId="260B63DB">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（关于</w:t>
      </w:r>
      <w:r>
        <w:rPr>
          <w:rFonts w:hint="eastAsia" w:cs="宋体"/>
          <w:i w:val="0"/>
          <w:iCs w:val="0"/>
          <w:caps w:val="0"/>
          <w:color w:val="1F2329"/>
          <w:spacing w:val="4"/>
          <w:kern w:val="2"/>
          <w:sz w:val="30"/>
          <w:szCs w:val="30"/>
          <w:shd w:val="clear" w:fill="FFFFFF"/>
          <w:lang w:eastAsia="zh-CN"/>
        </w:rPr>
        <w:t>青月</w:t>
      </w:r>
      <w:r>
        <w:rPr>
          <w:rFonts w:hint="eastAsia" w:ascii="宋体" w:hAnsi="宋体" w:eastAsia="宋体" w:cs="宋体"/>
          <w:i w:val="0"/>
          <w:iCs w:val="0"/>
          <w:caps w:val="0"/>
          <w:color w:val="1F2329"/>
          <w:spacing w:val="4"/>
          <w:kern w:val="2"/>
          <w:sz w:val="30"/>
          <w:szCs w:val="30"/>
          <w:shd w:val="clear" w:fill="FFFFFF"/>
          <w:lang w:eastAsia="zh-CN"/>
        </w:rPr>
        <w:t>生活广场零售合作项目</w:t>
      </w:r>
    </w:p>
    <w:p w14:paraId="0E497C8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outlineLvl w:val="9"/>
      </w:pPr>
      <w:r>
        <w:rPr>
          <w:rFonts w:hint="eastAsia" w:ascii="宋体" w:hAnsi="宋体" w:eastAsia="宋体" w:cs="宋体"/>
          <w:i w:val="0"/>
          <w:iCs w:val="0"/>
          <w:caps w:val="0"/>
          <w:color w:val="1F2329"/>
          <w:spacing w:val="4"/>
          <w:kern w:val="2"/>
          <w:sz w:val="30"/>
          <w:szCs w:val="30"/>
          <w:shd w:val="clear" w:fill="FFFFFF"/>
          <w:lang w:eastAsia="zh-CN"/>
        </w:rPr>
        <w:t>资金流转、平台结算及服务收费异常事项）</w:t>
      </w:r>
    </w:p>
    <w:p w14:paraId="487B5CD1">
      <w:pPr>
        <w:spacing w:before="0" w:after="40" w:line="300" w:lineRule="auto"/>
        <w:jc w:val="center"/>
      </w:pPr>
      <w:r>
        <w:rPr>
          <w:rFonts w:ascii="Times New Roman" w:hAnsi="Times New Roman" w:eastAsia="宋体"/>
          <w:b w:val="0"/>
          <w:sz w:val="20"/>
        </w:rPr>
        <w:t>━━━━━━━━━━━━━━━━━━━━━━━━━━━━━━━━━━</w:t>
      </w:r>
    </w:p>
    <w:p w14:paraId="77FF0B27">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【核心关注事项】</w:t>
      </w:r>
    </w:p>
    <w:p w14:paraId="76FDF7A0">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1. 286万元开业前采购备货款提前集中支付（沐域供应链）</w:t>
      </w:r>
    </w:p>
    <w:p w14:paraId="7B4910C3">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2. 142万元线上平台销售款延迟回流（星书数字零售）</w:t>
      </w:r>
    </w:p>
    <w:p w14:paraId="3436ED28">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3. 68万元运营服务费用重复计收（澜员商业运营）</w:t>
      </w:r>
    </w:p>
    <w:p w14:paraId="69F43CCA">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4. 180万元内部账户周转未形成完整闭环（澜员商业运营）</w:t>
      </w:r>
    </w:p>
    <w:p w14:paraId="0405650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待核查影响资金合计：676万元</w:t>
      </w:r>
    </w:p>
    <w:p w14:paraId="41E65B48">
      <w:pPr>
        <w:spacing w:before="0" w:after="40" w:line="300" w:lineRule="auto"/>
        <w:jc w:val="center"/>
      </w:pPr>
      <w:r>
        <w:rPr>
          <w:rFonts w:ascii="Times New Roman" w:hAnsi="Times New Roman" w:eastAsia="宋体"/>
          <w:b w:val="0"/>
          <w:sz w:val="20"/>
        </w:rPr>
        <w:t>━━━━━━━━━━━━━━━━━━━━━━━━━━━━━━━━━━</w:t>
      </w:r>
    </w:p>
    <w:p w14:paraId="1ABAE610">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呈报人：</w:t>
      </w:r>
      <w:r>
        <w:rPr>
          <w:rFonts w:hint="eastAsia" w:cs="宋体"/>
          <w:i w:val="0"/>
          <w:iCs w:val="0"/>
          <w:caps w:val="0"/>
          <w:color w:val="1F2329"/>
          <w:spacing w:val="4"/>
          <w:kern w:val="2"/>
          <w:sz w:val="30"/>
          <w:szCs w:val="30"/>
          <w:shd w:val="clear" w:fill="FFFFFF"/>
          <w:lang w:eastAsia="zh-CN"/>
        </w:rPr>
        <w:t>顾启朝</w:t>
      </w:r>
    </w:p>
    <w:p w14:paraId="4699D716">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（系项目本地合作方及资金协调代表）</w:t>
      </w:r>
    </w:p>
    <w:p w14:paraId="68AE587A">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default" w:ascii="宋体" w:hAnsi="宋体" w:eastAsia="宋体" w:cs="宋体"/>
          <w:i w:val="0"/>
          <w:iCs w:val="0"/>
          <w:caps w:val="0"/>
          <w:color w:val="1F2329"/>
          <w:spacing w:val="4"/>
          <w:kern w:val="2"/>
          <w:sz w:val="30"/>
          <w:szCs w:val="30"/>
          <w:shd w:val="clear" w:fill="FFFFFF"/>
          <w:lang w:val="en-US" w:eastAsia="zh-CN"/>
        </w:rPr>
      </w:pPr>
      <w:r>
        <w:rPr>
          <w:rFonts w:hint="eastAsia" w:ascii="宋体" w:hAnsi="宋体" w:eastAsia="宋体" w:cs="宋体"/>
          <w:i w:val="0"/>
          <w:iCs w:val="0"/>
          <w:caps w:val="0"/>
          <w:color w:val="1F2329"/>
          <w:spacing w:val="4"/>
          <w:kern w:val="2"/>
          <w:sz w:val="30"/>
          <w:szCs w:val="30"/>
          <w:shd w:val="clear" w:fill="FFFFFF"/>
          <w:lang w:eastAsia="zh-CN"/>
        </w:rPr>
        <w:t>联系电话：</w:t>
      </w:r>
      <w:r>
        <w:rPr>
          <w:rFonts w:hint="eastAsia" w:cs="宋体"/>
          <w:i w:val="0"/>
          <w:iCs w:val="0"/>
          <w:caps w:val="0"/>
          <w:color w:val="1F2329"/>
          <w:spacing w:val="4"/>
          <w:kern w:val="2"/>
          <w:sz w:val="30"/>
          <w:szCs w:val="30"/>
          <w:shd w:val="clear" w:fill="FFFFFF"/>
          <w:lang w:val="en-US" w:eastAsia="zh-CN"/>
        </w:rPr>
        <w:t>188278632124586</w:t>
      </w:r>
      <w:bookmarkStart w:id="0" w:name="_GoBack"/>
      <w:bookmarkEnd w:id="0"/>
    </w:p>
    <w:p w14:paraId="5C85085D">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日期：2026年5月21日</w:t>
      </w:r>
    </w:p>
    <w:p w14:paraId="6DE023A1">
      <w:pPr>
        <w:spacing w:before="0" w:after="40" w:line="300" w:lineRule="auto"/>
        <w:jc w:val="center"/>
      </w:pPr>
      <w:r>
        <w:rPr>
          <w:rFonts w:ascii="Times New Roman" w:hAnsi="Times New Roman" w:eastAsia="宋体"/>
          <w:b w:val="0"/>
          <w:sz w:val="20"/>
        </w:rPr>
        <w:t>━━━━━━━━━━━━━━━━━━━━━━━━━━━━━━━━━━</w:t>
      </w:r>
    </w:p>
    <w:p w14:paraId="6A943D1B">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cs="宋体"/>
          <w:i w:val="0"/>
          <w:iCs w:val="0"/>
          <w:caps w:val="0"/>
          <w:color w:val="1F2329"/>
          <w:spacing w:val="4"/>
          <w:kern w:val="2"/>
          <w:sz w:val="30"/>
          <w:szCs w:val="30"/>
          <w:shd w:val="clear" w:fill="FFFFFF"/>
          <w:lang w:eastAsia="zh-CN"/>
        </w:rPr>
        <w:t>辰传合规与财务顾问团队</w:t>
      </w:r>
    </w:p>
    <w:p w14:paraId="76FD953B">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第一册（共二册）·主报告及核心材料</w:t>
      </w:r>
    </w:p>
    <w:p w14:paraId="1A83146E">
      <w:pPr>
        <w:spacing w:before="0" w:after="20" w:line="300" w:lineRule="auto"/>
        <w:jc w:val="center"/>
      </w:pPr>
      <w:r>
        <w:br w:type="page"/>
      </w:r>
    </w:p>
    <w:p w14:paraId="43987B9F">
      <w:pPr>
        <w:pStyle w:val="30"/>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60" w:lineRule="auto"/>
        <w:ind w:left="0" w:right="0" w:firstLine="0"/>
        <w:jc w:val="both"/>
        <w:textAlignment w:val="auto"/>
        <w:rPr>
          <w:rStyle w:val="134"/>
          <w:rFonts w:hint="eastAsia" w:ascii="宋体" w:hAnsi="宋体" w:eastAsia="宋体" w:cs="宋体"/>
          <w:b w:val="0"/>
          <w:bCs w:val="0"/>
          <w:i w:val="0"/>
          <w:iCs w:val="0"/>
          <w:caps w:val="0"/>
          <w:color w:val="0F1115"/>
          <w:spacing w:val="0"/>
          <w:kern w:val="2"/>
          <w:sz w:val="24"/>
          <w:szCs w:val="24"/>
          <w:shd w:val="clear" w:fill="FFFFFF"/>
          <w:lang w:eastAsia="zh-CN"/>
        </w:rPr>
      </w:pPr>
      <w:r>
        <w:rPr>
          <w:rStyle w:val="134"/>
          <w:rFonts w:hint="eastAsia" w:ascii="宋体" w:hAnsi="宋体" w:eastAsia="宋体" w:cs="宋体"/>
          <w:b w:val="0"/>
          <w:bCs w:val="0"/>
          <w:i w:val="0"/>
          <w:iCs w:val="0"/>
          <w:caps w:val="0"/>
          <w:color w:val="0F1115"/>
          <w:spacing w:val="0"/>
          <w:kern w:val="2"/>
          <w:sz w:val="24"/>
          <w:szCs w:val="24"/>
          <w:shd w:val="clear" w:fill="FFFFFF"/>
          <w:lang w:eastAsia="zh-CN"/>
        </w:rPr>
        <w:t>尊敬的项目核查小组：</w:t>
      </w:r>
    </w:p>
    <w:p w14:paraId="563A4246">
      <w:pPr>
        <w:pStyle w:val="165"/>
        <w:bidi w:val="0"/>
        <w:jc w:val="both"/>
        <w:rPr>
          <w:rFonts w:hint="eastAsia"/>
          <w:lang w:val="en-US" w:eastAsia="zh-CN"/>
        </w:rPr>
      </w:pPr>
      <w:r>
        <w:rPr>
          <w:rFonts w:hint="eastAsia"/>
          <w:lang w:val="en-US" w:eastAsia="zh-CN"/>
        </w:rPr>
        <w:t>您好！现将青月生活广场零售合作项目在经营管理过程中形成的资金往来、平台结算、供应链付款及运营收费情况整理成册，请协助从合同履行、财务内控、关联交易及后续维权路径等角度进行专业评估。</w:t>
      </w:r>
    </w:p>
    <w:p w14:paraId="2027AA5E">
      <w:pPr>
        <w:pStyle w:val="165"/>
        <w:bidi w:val="0"/>
        <w:jc w:val="both"/>
        <w:rPr>
          <w:rFonts w:hint="eastAsia"/>
          <w:lang w:val="en-US" w:eastAsia="zh-CN"/>
        </w:rPr>
      </w:pPr>
      <w:r>
        <w:rPr>
          <w:rFonts w:hint="eastAsia"/>
          <w:lang w:val="en-US" w:eastAsia="zh-CN"/>
        </w:rPr>
        <w:t>本材料以现有合同、对账记录、付款台账、平台结算截图及项目内部沟通记录为基础，对关键异常事项进行归纳。</w:t>
      </w:r>
    </w:p>
    <w:p w14:paraId="28CCA04B">
      <w:pPr>
        <w:pStyle w:val="3"/>
        <w:keepNext w:val="0"/>
        <w:keepLines w:val="0"/>
        <w:widowControl w:val="0"/>
        <w:bidi w:val="0"/>
        <w:spacing w:before="0" w:beforeLines="0" w:beforeAutospacing="0" w:after="0" w:afterLines="0" w:afterAutospacing="0" w:line="360" w:lineRule="auto"/>
        <w:jc w:val="both"/>
        <w:rPr>
          <w:rFonts w:hint="eastAsia" w:ascii="黑体" w:hAnsi="黑体" w:eastAsia="黑体" w:cstheme="minorBidi"/>
          <w:bCs w:val="0"/>
          <w:kern w:val="44"/>
          <w:sz w:val="30"/>
          <w:szCs w:val="24"/>
          <w:lang w:eastAsia="zh-CN"/>
        </w:rPr>
      </w:pPr>
      <w:r>
        <w:rPr>
          <w:rFonts w:hint="eastAsia" w:ascii="黑体" w:hAnsi="黑体" w:eastAsia="黑体" w:cstheme="minorBidi"/>
          <w:bCs w:val="0"/>
          <w:kern w:val="44"/>
          <w:sz w:val="30"/>
          <w:szCs w:val="24"/>
          <w:lang w:eastAsia="zh-CN"/>
        </w:rPr>
        <w:t>第一部分：项目核心事实梳理</w:t>
      </w:r>
    </w:p>
    <w:p w14:paraId="73F3771E">
      <w:pPr>
        <w:pStyle w:val="4"/>
        <w:keepNext w:val="0"/>
        <w:keepLines w:val="0"/>
        <w:widowControl w:val="0"/>
        <w:bidi w:val="0"/>
        <w:spacing w:before="0" w:beforeAutospacing="0" w:afterAutospacing="0" w:line="360" w:lineRule="auto"/>
        <w:jc w:val="left"/>
        <w:rPr>
          <w:rFonts w:hint="eastAsia" w:ascii="黑体" w:hAnsi="黑体" w:eastAsia="黑体" w:cs="宋体"/>
          <w:kern w:val="0"/>
          <w:sz w:val="28"/>
          <w:szCs w:val="36"/>
          <w:lang w:eastAsia="zh-CN" w:bidi="ar"/>
        </w:rPr>
      </w:pPr>
      <w:r>
        <w:rPr>
          <w:rFonts w:hint="eastAsia" w:ascii="黑体" w:hAnsi="黑体" w:eastAsia="黑体" w:cs="宋体"/>
          <w:kern w:val="0"/>
          <w:sz w:val="28"/>
          <w:szCs w:val="36"/>
          <w:lang w:eastAsia="zh-CN" w:bidi="ar"/>
        </w:rPr>
        <w:t>一、合作项目背景</w:t>
      </w:r>
    </w:p>
    <w:p w14:paraId="1322E902">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eastAsia" w:ascii="Times New Roman" w:hAnsi="Times New Roman" w:eastAsia="宋体" w:cs="黑体"/>
          <w:bCs/>
          <w:color w:val="0F1115"/>
          <w:kern w:val="44"/>
          <w:sz w:val="24"/>
          <w:szCs w:val="30"/>
          <w:shd w:val="clear" w:fill="FFFFFF"/>
          <w:lang w:val="en-US" w:eastAsia="zh-CN" w:bidi="ar-SA"/>
        </w:rPr>
        <w:t>青月</w:t>
      </w:r>
      <w:r>
        <w:rPr>
          <w:rFonts w:hint="default" w:ascii="Times New Roman" w:hAnsi="Times New Roman" w:eastAsia="宋体" w:cs="黑体"/>
          <w:bCs/>
          <w:color w:val="0F1115"/>
          <w:kern w:val="44"/>
          <w:sz w:val="24"/>
          <w:szCs w:val="30"/>
          <w:shd w:val="clear" w:fill="FFFFFF"/>
          <w:lang w:val="en-US" w:eastAsia="zh-CN" w:bidi="ar-SA"/>
        </w:rPr>
        <w:t>生活广场零售合作项目于2025年1月进入试营业阶段，合作目标是在华中某城市新区打造社区型综合零售门店。合作各方初始约定由运营统筹方负责采购计划、门店系统、商品结构及后台核算；本地合作方负责前期资金组织、场地衔接、日常监督及本地资源协调。</w:t>
      </w:r>
    </w:p>
    <w:p w14:paraId="711B4551">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项目推进初期，门店备货、平台入驻、系统搭建及配送资源整合较为集中，资金支出节奏明显快于实际销售回款节奏。随着运营周期拉长，项目账户陆续出现采购款提前支付、平台销售款延迟回流、服务费用重复列支以及内部账户调拨记录不完整等情况。</w:t>
      </w:r>
    </w:p>
    <w:p w14:paraId="5E66F4D9">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为避免单纯以经营亏损概括问题，本材料将异常事项拆分为“资金流向、业务依据、会计记录、程序合规、现金流影响”五个维度，并形成后续核查问题清单。</w:t>
      </w:r>
    </w:p>
    <w:p w14:paraId="5A5E7076">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二、主要关联主体关系</w:t>
      </w:r>
    </w:p>
    <w:p w14:paraId="136CD364">
      <w:pPr>
        <w:spacing w:before="0" w:after="80" w:line="300" w:lineRule="auto"/>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根据现有合同、收付款记录及业务对接资料，项目涉及的主要主体如下：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814"/>
        <w:gridCol w:w="4649"/>
      </w:tblGrid>
      <w:tr w14:paraId="1E4B3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12" w:space="0"/>
              <w:left w:val="nil"/>
              <w:bottom w:val="single" w:color="000000" w:sz="4" w:space="0"/>
              <w:right w:val="nil"/>
            </w:tcBorders>
            <w:shd w:val="clear" w:color="auto" w:fill="D9E2F3"/>
            <w:vAlign w:val="center"/>
          </w:tcPr>
          <w:p w14:paraId="545C4E8E">
            <w:pPr>
              <w:pStyle w:val="166"/>
              <w:widowControl w:val="0"/>
              <w:bidi w:val="0"/>
              <w:spacing w:after="0" w:line="240" w:lineRule="auto"/>
            </w:pPr>
            <w:r>
              <w:rPr>
                <w:rFonts w:hint="default" w:eastAsiaTheme="minorEastAsia"/>
                <w:b/>
                <w:bCs/>
                <w:kern w:val="2"/>
                <w:szCs w:val="24"/>
                <w:lang w:val="en-US" w:eastAsia="zh-CN"/>
              </w:rPr>
              <w:t>主体</w:t>
            </w:r>
          </w:p>
        </w:tc>
        <w:tc>
          <w:tcPr>
            <w:tcW w:w="1814" w:type="dxa"/>
            <w:tcBorders>
              <w:top w:val="single" w:color="000000" w:sz="12" w:space="0"/>
              <w:left w:val="nil"/>
              <w:bottom w:val="single" w:color="000000" w:sz="4" w:space="0"/>
              <w:right w:val="nil"/>
            </w:tcBorders>
            <w:shd w:val="clear" w:color="auto" w:fill="D9E2F3"/>
            <w:vAlign w:val="center"/>
          </w:tcPr>
          <w:p w14:paraId="7D7C246D">
            <w:pPr>
              <w:pStyle w:val="166"/>
              <w:widowControl w:val="0"/>
              <w:bidi w:val="0"/>
              <w:spacing w:after="0" w:line="240" w:lineRule="auto"/>
            </w:pPr>
            <w:r>
              <w:rPr>
                <w:rFonts w:hint="default" w:eastAsiaTheme="minorEastAsia"/>
                <w:b/>
                <w:bCs/>
                <w:kern w:val="2"/>
                <w:szCs w:val="24"/>
                <w:lang w:val="en-US" w:eastAsia="zh-CN"/>
              </w:rPr>
              <w:t>角色</w:t>
            </w:r>
          </w:p>
        </w:tc>
        <w:tc>
          <w:tcPr>
            <w:tcW w:w="4649" w:type="dxa"/>
            <w:tcBorders>
              <w:top w:val="single" w:color="000000" w:sz="12" w:space="0"/>
              <w:left w:val="nil"/>
              <w:bottom w:val="single" w:color="000000" w:sz="4" w:space="0"/>
              <w:right w:val="nil"/>
            </w:tcBorders>
            <w:shd w:val="clear" w:color="auto" w:fill="D9E2F3"/>
            <w:vAlign w:val="center"/>
          </w:tcPr>
          <w:p w14:paraId="7236F564">
            <w:pPr>
              <w:pStyle w:val="166"/>
              <w:widowControl w:val="0"/>
              <w:bidi w:val="0"/>
              <w:spacing w:after="0" w:line="240" w:lineRule="auto"/>
            </w:pPr>
            <w:r>
              <w:rPr>
                <w:rFonts w:hint="default" w:eastAsiaTheme="minorEastAsia"/>
                <w:b/>
                <w:bCs/>
                <w:kern w:val="2"/>
                <w:szCs w:val="24"/>
                <w:lang w:val="en-US" w:eastAsia="zh-CN"/>
              </w:rPr>
              <w:t>关联说明</w:t>
            </w:r>
          </w:p>
        </w:tc>
      </w:tr>
      <w:tr w14:paraId="66C9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4" w:space="0"/>
              <w:left w:val="nil"/>
              <w:bottom w:val="nil"/>
              <w:right w:val="nil"/>
            </w:tcBorders>
            <w:vAlign w:val="center"/>
          </w:tcPr>
          <w:p w14:paraId="5C7E9B5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澜员商业运营有限公司</w:t>
            </w:r>
          </w:p>
        </w:tc>
        <w:tc>
          <w:tcPr>
            <w:tcW w:w="1814" w:type="dxa"/>
            <w:tcBorders>
              <w:top w:val="single" w:color="000000" w:sz="4" w:space="0"/>
              <w:left w:val="nil"/>
              <w:bottom w:val="nil"/>
              <w:right w:val="nil"/>
            </w:tcBorders>
            <w:vAlign w:val="center"/>
          </w:tcPr>
          <w:p w14:paraId="6D6CC8D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运营统筹方</w:t>
            </w:r>
          </w:p>
        </w:tc>
        <w:tc>
          <w:tcPr>
            <w:tcW w:w="4649" w:type="dxa"/>
            <w:tcBorders>
              <w:top w:val="single" w:color="000000" w:sz="4" w:space="0"/>
              <w:left w:val="nil"/>
              <w:bottom w:val="nil"/>
              <w:right w:val="nil"/>
            </w:tcBorders>
            <w:vAlign w:val="center"/>
          </w:tcPr>
          <w:p w14:paraId="3FD63BE2">
            <w:pPr>
              <w:spacing w:before="0" w:after="0" w:line="276" w:lineRule="auto"/>
              <w:jc w:val="left"/>
              <w:rPr>
                <w:rFonts w:ascii="Times New Roman" w:hAnsi="Times New Roman" w:eastAsia="宋体"/>
                <w:b w:val="0"/>
                <w:sz w:val="21"/>
              </w:rPr>
            </w:pPr>
            <w:r>
              <w:rPr>
                <w:rFonts w:ascii="Times New Roman" w:hAnsi="Times New Roman" w:eastAsia="宋体"/>
                <w:b w:val="0"/>
                <w:sz w:val="21"/>
              </w:rPr>
              <w:t>负责商品计划、门店运营、后台核算及费用规则制定</w:t>
            </w:r>
          </w:p>
        </w:tc>
      </w:tr>
      <w:tr w14:paraId="5CAA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2F03525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沐域供应链服务有限公司</w:t>
            </w:r>
          </w:p>
        </w:tc>
        <w:tc>
          <w:tcPr>
            <w:tcW w:w="1814" w:type="dxa"/>
            <w:tcBorders>
              <w:top w:val="nil"/>
              <w:left w:val="nil"/>
              <w:bottom w:val="nil"/>
              <w:right w:val="nil"/>
            </w:tcBorders>
            <w:vAlign w:val="center"/>
          </w:tcPr>
          <w:p w14:paraId="074259F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仓储配送方</w:t>
            </w:r>
          </w:p>
        </w:tc>
        <w:tc>
          <w:tcPr>
            <w:tcW w:w="4649" w:type="dxa"/>
            <w:tcBorders>
              <w:top w:val="nil"/>
              <w:left w:val="nil"/>
              <w:bottom w:val="nil"/>
              <w:right w:val="nil"/>
            </w:tcBorders>
            <w:vAlign w:val="center"/>
          </w:tcPr>
          <w:p w14:paraId="3865E515">
            <w:pPr>
              <w:spacing w:before="0" w:after="0" w:line="276" w:lineRule="auto"/>
              <w:jc w:val="left"/>
              <w:rPr>
                <w:rFonts w:ascii="Times New Roman" w:hAnsi="Times New Roman" w:eastAsia="宋体"/>
                <w:b w:val="0"/>
                <w:sz w:val="21"/>
              </w:rPr>
            </w:pPr>
            <w:r>
              <w:rPr>
                <w:rFonts w:ascii="Times New Roman" w:hAnsi="Times New Roman" w:eastAsia="宋体"/>
                <w:b w:val="0"/>
                <w:sz w:val="21"/>
              </w:rPr>
              <w:t>负责采购备货、仓储周转及配送结算</w:t>
            </w:r>
          </w:p>
        </w:tc>
      </w:tr>
      <w:tr w14:paraId="19DE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5BF0208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星书数字零售有限公司</w:t>
            </w:r>
          </w:p>
        </w:tc>
        <w:tc>
          <w:tcPr>
            <w:tcW w:w="1814" w:type="dxa"/>
            <w:tcBorders>
              <w:top w:val="nil"/>
              <w:left w:val="nil"/>
              <w:bottom w:val="nil"/>
              <w:right w:val="nil"/>
            </w:tcBorders>
            <w:vAlign w:val="center"/>
          </w:tcPr>
          <w:p w14:paraId="1629E59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平台代运营方</w:t>
            </w:r>
          </w:p>
        </w:tc>
        <w:tc>
          <w:tcPr>
            <w:tcW w:w="4649" w:type="dxa"/>
            <w:tcBorders>
              <w:top w:val="nil"/>
              <w:left w:val="nil"/>
              <w:bottom w:val="nil"/>
              <w:right w:val="nil"/>
            </w:tcBorders>
            <w:vAlign w:val="center"/>
          </w:tcPr>
          <w:p w14:paraId="2EABD196">
            <w:pPr>
              <w:spacing w:before="0" w:after="0" w:line="276" w:lineRule="auto"/>
              <w:jc w:val="left"/>
              <w:rPr>
                <w:rFonts w:ascii="Times New Roman" w:hAnsi="Times New Roman" w:eastAsia="宋体"/>
                <w:b w:val="0"/>
                <w:sz w:val="21"/>
              </w:rPr>
            </w:pPr>
            <w:r>
              <w:rPr>
                <w:rFonts w:ascii="Times New Roman" w:hAnsi="Times New Roman" w:eastAsia="宋体"/>
                <w:b w:val="0"/>
                <w:sz w:val="21"/>
              </w:rPr>
              <w:t>负责线上渠道入驻、订单收款及平台对账</w:t>
            </w:r>
          </w:p>
        </w:tc>
      </w:tr>
      <w:tr w14:paraId="19FA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2F1C243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青月生活广场项目部</w:t>
            </w:r>
          </w:p>
        </w:tc>
        <w:tc>
          <w:tcPr>
            <w:tcW w:w="1814" w:type="dxa"/>
            <w:tcBorders>
              <w:top w:val="nil"/>
              <w:left w:val="nil"/>
              <w:bottom w:val="nil"/>
              <w:right w:val="nil"/>
            </w:tcBorders>
            <w:vAlign w:val="center"/>
          </w:tcPr>
          <w:p w14:paraId="16BDC00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项目主体</w:t>
            </w:r>
          </w:p>
        </w:tc>
        <w:tc>
          <w:tcPr>
            <w:tcW w:w="4649" w:type="dxa"/>
            <w:tcBorders>
              <w:top w:val="nil"/>
              <w:left w:val="nil"/>
              <w:bottom w:val="nil"/>
              <w:right w:val="nil"/>
            </w:tcBorders>
            <w:vAlign w:val="center"/>
          </w:tcPr>
          <w:p w14:paraId="7615FFF2">
            <w:pPr>
              <w:spacing w:before="0" w:after="0" w:line="276" w:lineRule="auto"/>
              <w:jc w:val="left"/>
              <w:rPr>
                <w:rFonts w:ascii="Times New Roman" w:hAnsi="Times New Roman" w:eastAsia="宋体"/>
                <w:b w:val="0"/>
                <w:sz w:val="21"/>
              </w:rPr>
            </w:pPr>
            <w:r>
              <w:rPr>
                <w:rFonts w:ascii="Times New Roman" w:hAnsi="Times New Roman" w:eastAsia="宋体"/>
                <w:b w:val="0"/>
                <w:sz w:val="21"/>
              </w:rPr>
              <w:t>承担门店经营、员工管理及本地资产维护</w:t>
            </w:r>
          </w:p>
        </w:tc>
      </w:tr>
      <w:tr w14:paraId="290C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single" w:color="000000" w:sz="12" w:space="0"/>
              <w:right w:val="nil"/>
            </w:tcBorders>
            <w:vAlign w:val="center"/>
          </w:tcPr>
          <w:p w14:paraId="43D1C7D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启明投资管理工作室</w:t>
            </w:r>
          </w:p>
        </w:tc>
        <w:tc>
          <w:tcPr>
            <w:tcW w:w="1814" w:type="dxa"/>
            <w:tcBorders>
              <w:top w:val="nil"/>
              <w:left w:val="nil"/>
              <w:bottom w:val="single" w:color="000000" w:sz="12" w:space="0"/>
              <w:right w:val="nil"/>
            </w:tcBorders>
            <w:vAlign w:val="center"/>
          </w:tcPr>
          <w:p w14:paraId="569EF2D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出资协调方</w:t>
            </w:r>
          </w:p>
        </w:tc>
        <w:tc>
          <w:tcPr>
            <w:tcW w:w="4649" w:type="dxa"/>
            <w:tcBorders>
              <w:top w:val="nil"/>
              <w:left w:val="nil"/>
              <w:bottom w:val="single" w:color="000000" w:sz="12" w:space="0"/>
              <w:right w:val="nil"/>
            </w:tcBorders>
            <w:vAlign w:val="center"/>
          </w:tcPr>
          <w:p w14:paraId="2D346E11">
            <w:pPr>
              <w:spacing w:before="0" w:after="0" w:line="276" w:lineRule="auto"/>
              <w:jc w:val="left"/>
              <w:rPr>
                <w:rFonts w:ascii="Times New Roman" w:hAnsi="Times New Roman" w:eastAsia="宋体"/>
                <w:b w:val="0"/>
                <w:sz w:val="21"/>
              </w:rPr>
            </w:pPr>
            <w:r>
              <w:rPr>
                <w:rFonts w:ascii="Times New Roman" w:hAnsi="Times New Roman" w:eastAsia="宋体"/>
                <w:b w:val="0"/>
                <w:sz w:val="21"/>
              </w:rPr>
              <w:t>负责前期资金筹措、经营监督和资料归集</w:t>
            </w:r>
          </w:p>
        </w:tc>
      </w:tr>
    </w:tbl>
    <w:p w14:paraId="3FBF54A5">
      <w:pPr>
        <w:spacing w:after="40"/>
      </w:pPr>
    </w:p>
    <w:p w14:paraId="53AFB9C3">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说明：</w:t>
      </w:r>
      <w:r>
        <w:rPr>
          <w:rFonts w:hint="default" w:ascii="Times New Roman" w:hAnsi="Times New Roman" w:eastAsia="宋体" w:cs="黑体"/>
          <w:bCs/>
          <w:color w:val="0F1115"/>
          <w:kern w:val="44"/>
          <w:sz w:val="24"/>
          <w:szCs w:val="30"/>
          <w:shd w:val="clear" w:fill="FFFFFF"/>
          <w:lang w:val="en-US" w:eastAsia="zh-CN" w:bidi="ar-SA"/>
        </w:rPr>
        <w:t>上述主体之间并非均为同一法人，但在项目执行中形成了“运营安排—采购配送—平台收款—费用结算”的连续业务链条。资金异常并非孤立发生，而是集中表现为项目主体账户的实际控制权与收益回流权不匹配。</w:t>
      </w:r>
    </w:p>
    <w:p w14:paraId="7A2B485B">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三、合作分工与结算约定</w:t>
      </w:r>
    </w:p>
    <w:p w14:paraId="3666A955">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合作初期形成的业务安排明确，货款原则上应在月度对账完成后按期结算，平台收入应归集至项目主体账户或在固定周期内回流，运营费用应以合同约定项目为准，不得以拆分名目重复收取。</w:t>
      </w:r>
    </w:p>
    <w:p w14:paraId="4A04D19A">
      <w:pPr>
        <w:spacing w:before="0" w:after="80" w:line="300" w:lineRule="auto"/>
        <w:ind w:firstLine="480"/>
      </w:pPr>
      <w:r>
        <w:rPr>
          <w:rFonts w:hint="default" w:ascii="Times New Roman" w:hAnsi="Times New Roman" w:eastAsia="宋体" w:cs="黑体"/>
          <w:bCs/>
          <w:color w:val="0F1115"/>
          <w:kern w:val="44"/>
          <w:sz w:val="24"/>
          <w:szCs w:val="30"/>
          <w:shd w:val="clear" w:fill="FFFFFF"/>
          <w:lang w:val="en-US" w:eastAsia="zh-CN" w:bidi="ar-SA"/>
        </w:rPr>
        <w:t>实际执行过程中，相关结算规则出现三类变化：其一，开业前后大量备货款提前支付；其二，线上平台订单收入由第三方先行集中收取；其三，原本应包含在管理服务费中的配送及系统维护事项，被拆分为按月收取项目。</w:t>
      </w:r>
    </w:p>
    <w:p w14:paraId="1FD24D3D">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四、资金流转核查路径</w:t>
      </w:r>
    </w:p>
    <w:p w14:paraId="352C10C7">
      <w:pPr>
        <w:spacing w:before="0" w:after="80" w:line="300" w:lineRule="auto"/>
        <w:ind w:firstLine="480" w:firstLineChars="20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为便于梳理业务链条，现将资金流转路径概括如下：</w:t>
      </w:r>
    </w:p>
    <w:p w14:paraId="4A8D1C8C">
      <w:pPr>
        <w:jc w:val="center"/>
      </w:pPr>
      <w:r>
        <w:drawing>
          <wp:inline distT="0" distB="0" distL="114300" distR="114300">
            <wp:extent cx="5579745" cy="2061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t="14736"/>
                    <a:stretch>
                      <a:fillRect/>
                    </a:stretch>
                  </pic:blipFill>
                  <pic:spPr>
                    <a:xfrm>
                      <a:off x="0" y="0"/>
                      <a:ext cx="5580000" cy="2061210"/>
                    </a:xfrm>
                    <a:prstGeom prst="rect">
                      <a:avLst/>
                    </a:prstGeom>
                  </pic:spPr>
                </pic:pic>
              </a:graphicData>
            </a:graphic>
          </wp:inline>
        </w:drawing>
      </w:r>
    </w:p>
    <w:p w14:paraId="31D13D53">
      <w:pPr>
        <w:spacing w:before="0" w:after="160" w:line="300" w:lineRule="auto"/>
        <w:jc w:val="center"/>
      </w:pPr>
      <w:r>
        <w:rPr>
          <w:rFonts w:hint="eastAsia" w:ascii="黑体" w:hAnsi="黑体" w:eastAsia="黑体" w:cs="黑体"/>
          <w:b w:val="0"/>
          <w:sz w:val="21"/>
        </w:rPr>
        <w:t>图1</w:t>
      </w:r>
      <w:r>
        <w:rPr>
          <w:rFonts w:hint="eastAsia" w:ascii="黑体" w:hAnsi="黑体" w:eastAsia="黑体" w:cs="黑体"/>
          <w:b w:val="0"/>
          <w:sz w:val="21"/>
          <w:lang w:val="en-US" w:eastAsia="zh-CN"/>
        </w:rPr>
        <w:t xml:space="preserve"> </w:t>
      </w:r>
      <w:r>
        <w:rPr>
          <w:rFonts w:hint="eastAsia" w:ascii="黑体" w:hAnsi="黑体" w:eastAsia="黑体" w:cs="黑体"/>
          <w:b w:val="0"/>
          <w:sz w:val="21"/>
        </w:rPr>
        <w:t>项目资金流转核查路径图</w:t>
      </w:r>
    </w:p>
    <w:p w14:paraId="4D4F1265">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val="en-US" w:eastAsia="zh-CN"/>
        </w:rPr>
      </w:pPr>
      <w:r>
        <w:rPr>
          <w:rFonts w:hint="default" w:ascii="黑体" w:hAnsi="黑体" w:eastAsia="黑体" w:cstheme="minorBidi"/>
          <w:bCs w:val="0"/>
          <w:kern w:val="44"/>
          <w:sz w:val="30"/>
          <w:szCs w:val="24"/>
          <w:lang w:val="en-US" w:eastAsia="zh-CN"/>
        </w:rPr>
        <w:t>第二部分：经营异常事项</w:t>
      </w:r>
    </w:p>
    <w:p w14:paraId="0336F234">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一、开业前采购备货款提前集中支付</w:t>
      </w:r>
    </w:p>
    <w:p w14:paraId="655E6CD8">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经初步归集付款记录，项目在试营业前后向</w:t>
      </w:r>
      <w:r>
        <w:rPr>
          <w:rFonts w:hint="eastAsia" w:ascii="Times New Roman" w:hAnsi="Times New Roman" w:eastAsia="宋体" w:cs="黑体"/>
          <w:bCs/>
          <w:color w:val="0F1115"/>
          <w:kern w:val="44"/>
          <w:sz w:val="24"/>
          <w:szCs w:val="30"/>
          <w:shd w:val="clear" w:fill="FFFFFF"/>
          <w:lang w:val="en-US" w:eastAsia="zh-CN" w:bidi="ar-SA"/>
        </w:rPr>
        <w:t>沐域供应链服务有限公司</w:t>
      </w:r>
      <w:r>
        <w:rPr>
          <w:rFonts w:hint="default" w:ascii="Times New Roman" w:hAnsi="Times New Roman" w:eastAsia="宋体" w:cs="黑体"/>
          <w:bCs/>
          <w:color w:val="0F1115"/>
          <w:kern w:val="44"/>
          <w:sz w:val="24"/>
          <w:szCs w:val="30"/>
          <w:shd w:val="clear" w:fill="FFFFFF"/>
          <w:lang w:val="en-US" w:eastAsia="zh-CN" w:bidi="ar-SA"/>
        </w:rPr>
        <w:t>集中支付多笔备货款。付款发生时，部分商品尚未完成入库验收，后续虽有陆续抵扣，但截至阶段性对账时仍存在较高预付余额。</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406"/>
      </w:tblGrid>
      <w:tr w14:paraId="2993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12" w:space="0"/>
              <w:left w:val="nil"/>
              <w:bottom w:val="single" w:color="000000" w:themeColor="text1" w:sz="4" w:space="0"/>
              <w:right w:val="nil"/>
            </w:tcBorders>
            <w:shd w:val="clear" w:color="auto" w:fill="D9E2F3"/>
            <w:vAlign w:val="center"/>
          </w:tcPr>
          <w:p w14:paraId="6AAE9F91">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项目</w:t>
            </w:r>
          </w:p>
        </w:tc>
        <w:tc>
          <w:tcPr>
            <w:tcW w:w="6406" w:type="dxa"/>
            <w:tcBorders>
              <w:top w:val="single" w:color="000000" w:sz="12" w:space="0"/>
              <w:left w:val="nil"/>
              <w:bottom w:val="single" w:color="000000" w:themeColor="text1" w:sz="4" w:space="0"/>
              <w:right w:val="nil"/>
            </w:tcBorders>
            <w:shd w:val="clear" w:color="auto" w:fill="D9E2F3"/>
            <w:vAlign w:val="center"/>
          </w:tcPr>
          <w:p w14:paraId="50A66326">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内容</w:t>
            </w:r>
          </w:p>
        </w:tc>
      </w:tr>
      <w:tr w14:paraId="057C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themeColor="text1" w:sz="4" w:space="0"/>
              <w:left w:val="nil"/>
              <w:bottom w:val="nil"/>
              <w:right w:val="nil"/>
            </w:tcBorders>
            <w:vAlign w:val="center"/>
          </w:tcPr>
          <w:p w14:paraId="67548F6C">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集中付款期间</w:t>
            </w:r>
          </w:p>
        </w:tc>
        <w:tc>
          <w:tcPr>
            <w:tcW w:w="6406" w:type="dxa"/>
            <w:tcBorders>
              <w:top w:val="single" w:color="000000" w:themeColor="text1" w:sz="4" w:space="0"/>
              <w:left w:val="nil"/>
              <w:bottom w:val="nil"/>
              <w:right w:val="nil"/>
            </w:tcBorders>
            <w:vAlign w:val="center"/>
          </w:tcPr>
          <w:p w14:paraId="078A689C">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2024年12月至2025年2月</w:t>
            </w:r>
          </w:p>
        </w:tc>
      </w:tr>
      <w:tr w14:paraId="7ECF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15F81675">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累计发生金额</w:t>
            </w:r>
          </w:p>
        </w:tc>
        <w:tc>
          <w:tcPr>
            <w:tcW w:w="6406" w:type="dxa"/>
            <w:tcBorders>
              <w:top w:val="nil"/>
              <w:left w:val="nil"/>
              <w:bottom w:val="nil"/>
              <w:right w:val="nil"/>
            </w:tcBorders>
            <w:vAlign w:val="center"/>
          </w:tcPr>
          <w:p w14:paraId="3F30EDC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约986万元</w:t>
            </w:r>
          </w:p>
        </w:tc>
      </w:tr>
      <w:tr w14:paraId="00F4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0CAE082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阶段性预付余额</w:t>
            </w:r>
          </w:p>
        </w:tc>
        <w:tc>
          <w:tcPr>
            <w:tcW w:w="6406" w:type="dxa"/>
            <w:tcBorders>
              <w:top w:val="nil"/>
              <w:left w:val="nil"/>
              <w:bottom w:val="nil"/>
              <w:right w:val="nil"/>
            </w:tcBorders>
            <w:vAlign w:val="center"/>
          </w:tcPr>
          <w:p w14:paraId="5815456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286万元</w:t>
            </w:r>
          </w:p>
        </w:tc>
      </w:tr>
      <w:tr w14:paraId="14A4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6B5EF712">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收款主体</w:t>
            </w:r>
          </w:p>
        </w:tc>
        <w:tc>
          <w:tcPr>
            <w:tcW w:w="6406" w:type="dxa"/>
            <w:tcBorders>
              <w:top w:val="nil"/>
              <w:left w:val="nil"/>
              <w:bottom w:val="nil"/>
              <w:right w:val="nil"/>
            </w:tcBorders>
            <w:vAlign w:val="center"/>
          </w:tcPr>
          <w:p w14:paraId="6C518C6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沐域供应链服务有限公司</w:t>
            </w:r>
          </w:p>
        </w:tc>
      </w:tr>
      <w:tr w14:paraId="2DC4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12980541">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业务名目</w:t>
            </w:r>
          </w:p>
        </w:tc>
        <w:tc>
          <w:tcPr>
            <w:tcW w:w="6406" w:type="dxa"/>
            <w:tcBorders>
              <w:top w:val="nil"/>
              <w:left w:val="nil"/>
              <w:bottom w:val="nil"/>
              <w:right w:val="nil"/>
            </w:tcBorders>
            <w:vAlign w:val="center"/>
          </w:tcPr>
          <w:p w14:paraId="675E4ACA">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开业备货款、节庆采购款、周转补货款</w:t>
            </w:r>
          </w:p>
        </w:tc>
      </w:tr>
      <w:tr w14:paraId="2080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single" w:color="000000" w:sz="12" w:space="0"/>
              <w:right w:val="nil"/>
            </w:tcBorders>
            <w:vAlign w:val="center"/>
          </w:tcPr>
          <w:p w14:paraId="75F21426">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程序情况</w:t>
            </w:r>
          </w:p>
        </w:tc>
        <w:tc>
          <w:tcPr>
            <w:tcW w:w="6406" w:type="dxa"/>
            <w:tcBorders>
              <w:top w:val="nil"/>
              <w:left w:val="nil"/>
              <w:bottom w:val="single" w:color="000000" w:sz="12" w:space="0"/>
              <w:right w:val="nil"/>
            </w:tcBorders>
            <w:vAlign w:val="center"/>
          </w:tcPr>
          <w:p w14:paraId="120F08A6">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未见完整的月度对账确认及对应入库验收单闭环</w:t>
            </w:r>
          </w:p>
        </w:tc>
      </w:tr>
    </w:tbl>
    <w:p w14:paraId="61C571C7">
      <w:pPr>
        <w:spacing w:after="40"/>
      </w:pPr>
    </w:p>
    <w:p w14:paraId="5D16C7E1">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该事项的关键不在于采购业务本身是否真实，而在于付款节奏是否超出合同约定和经营需要。若备货款在商品未到店或未完成验收前已经支付，且长期保留较高余额，则会对项目现金流形成实质占用。</w:t>
      </w:r>
    </w:p>
    <w:p w14:paraId="6513A1AF">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根据项目库存周转测算，门店在成熟运营期的合理备货现金占用约为月均库存规模的45%至55%。现阶段预付余额明显高于同期合理现金需求，需进一步核对入库单、供应商对账单、盘点表和后续冲抵记录。</w:t>
      </w:r>
    </w:p>
    <w:p w14:paraId="4CDDBFF1">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二、平台销售款延迟回流</w:t>
      </w:r>
    </w:p>
    <w:p w14:paraId="179E4E86">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项目线上销售主要通过短视频团购、社区团购及即时零售平台完成。按项目合作安排，相关销售收入应按平台结算周期回流至项目主体账户或形成明确的应收记录。但实际执行中，部分平台款项由</w:t>
      </w:r>
      <w:r>
        <w:rPr>
          <w:rFonts w:hint="eastAsia" w:ascii="Times New Roman" w:hAnsi="Times New Roman" w:eastAsia="宋体" w:cs="黑体"/>
          <w:bCs/>
          <w:color w:val="0F1115"/>
          <w:kern w:val="44"/>
          <w:sz w:val="24"/>
          <w:szCs w:val="30"/>
          <w:shd w:val="clear" w:fill="FFFFFF"/>
          <w:lang w:val="en-US" w:eastAsia="zh-CN" w:bidi="ar-SA"/>
        </w:rPr>
        <w:t>星书数字零售有限公司</w:t>
      </w:r>
      <w:r>
        <w:rPr>
          <w:rFonts w:hint="default" w:ascii="Times New Roman" w:hAnsi="Times New Roman" w:eastAsia="宋体" w:cs="黑体"/>
          <w:bCs/>
          <w:color w:val="0F1115"/>
          <w:kern w:val="44"/>
          <w:sz w:val="24"/>
          <w:szCs w:val="30"/>
          <w:shd w:val="clear" w:fill="FFFFFF"/>
          <w:lang w:val="en-US" w:eastAsia="zh-CN" w:bidi="ar-SA"/>
        </w:rPr>
        <w:t>集中代收后延后结算。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268"/>
        <w:gridCol w:w="2948"/>
      </w:tblGrid>
      <w:tr w14:paraId="74E9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12" w:space="0"/>
              <w:left w:val="nil"/>
              <w:bottom w:val="single" w:color="000000" w:sz="4" w:space="0"/>
              <w:right w:val="nil"/>
            </w:tcBorders>
            <w:shd w:val="clear" w:color="auto" w:fill="D9E2F3"/>
            <w:vAlign w:val="center"/>
          </w:tcPr>
          <w:p w14:paraId="54DF2DBE">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期间</w:t>
            </w:r>
          </w:p>
        </w:tc>
        <w:tc>
          <w:tcPr>
            <w:tcW w:w="1984" w:type="dxa"/>
            <w:tcBorders>
              <w:top w:val="single" w:color="000000" w:sz="12" w:space="0"/>
              <w:left w:val="nil"/>
              <w:bottom w:val="single" w:color="000000" w:sz="4" w:space="0"/>
              <w:right w:val="nil"/>
            </w:tcBorders>
            <w:shd w:val="clear" w:color="auto" w:fill="D9E2F3"/>
            <w:vAlign w:val="center"/>
          </w:tcPr>
          <w:p w14:paraId="475F49B5">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平台类型</w:t>
            </w:r>
          </w:p>
        </w:tc>
        <w:tc>
          <w:tcPr>
            <w:tcW w:w="2268" w:type="dxa"/>
            <w:tcBorders>
              <w:top w:val="single" w:color="000000" w:sz="12" w:space="0"/>
              <w:left w:val="nil"/>
              <w:bottom w:val="single" w:color="000000" w:sz="4" w:space="0"/>
              <w:right w:val="nil"/>
            </w:tcBorders>
            <w:shd w:val="clear" w:color="auto" w:fill="D9E2F3"/>
            <w:vAlign w:val="center"/>
          </w:tcPr>
          <w:p w14:paraId="71419218">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待回流金额（万元）</w:t>
            </w:r>
          </w:p>
        </w:tc>
        <w:tc>
          <w:tcPr>
            <w:tcW w:w="2948" w:type="dxa"/>
            <w:tcBorders>
              <w:top w:val="single" w:color="000000" w:sz="12" w:space="0"/>
              <w:left w:val="nil"/>
              <w:bottom w:val="single" w:color="000000" w:sz="4" w:space="0"/>
              <w:right w:val="nil"/>
            </w:tcBorders>
            <w:shd w:val="clear" w:color="auto" w:fill="D9E2F3"/>
            <w:vAlign w:val="center"/>
          </w:tcPr>
          <w:p w14:paraId="72031103">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备注</w:t>
            </w:r>
          </w:p>
        </w:tc>
      </w:tr>
      <w:tr w14:paraId="402B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4" w:space="0"/>
              <w:left w:val="nil"/>
              <w:bottom w:val="nil"/>
              <w:right w:val="nil"/>
            </w:tcBorders>
            <w:vAlign w:val="center"/>
          </w:tcPr>
          <w:p w14:paraId="08B7AFA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2025-02</w:t>
            </w:r>
          </w:p>
        </w:tc>
        <w:tc>
          <w:tcPr>
            <w:tcW w:w="1984" w:type="dxa"/>
            <w:tcBorders>
              <w:top w:val="single" w:color="000000" w:sz="4" w:space="0"/>
              <w:left w:val="nil"/>
              <w:bottom w:val="nil"/>
              <w:right w:val="nil"/>
            </w:tcBorders>
            <w:vAlign w:val="center"/>
          </w:tcPr>
          <w:p w14:paraId="4CE95097">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短视频团购</w:t>
            </w:r>
          </w:p>
        </w:tc>
        <w:tc>
          <w:tcPr>
            <w:tcW w:w="2268" w:type="dxa"/>
            <w:tcBorders>
              <w:top w:val="single" w:color="000000" w:sz="4" w:space="0"/>
              <w:left w:val="nil"/>
              <w:bottom w:val="nil"/>
              <w:right w:val="nil"/>
            </w:tcBorders>
            <w:vAlign w:val="center"/>
          </w:tcPr>
          <w:p w14:paraId="0AAEDD91">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31</w:t>
            </w:r>
          </w:p>
        </w:tc>
        <w:tc>
          <w:tcPr>
            <w:tcW w:w="2948" w:type="dxa"/>
            <w:tcBorders>
              <w:top w:val="single" w:color="000000" w:sz="4" w:space="0"/>
              <w:left w:val="nil"/>
              <w:bottom w:val="nil"/>
              <w:right w:val="nil"/>
            </w:tcBorders>
            <w:vAlign w:val="center"/>
          </w:tcPr>
          <w:p w14:paraId="29F8D8C0">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促销券核销后未在当月回流</w:t>
            </w:r>
          </w:p>
        </w:tc>
      </w:tr>
      <w:tr w14:paraId="560A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center"/>
          </w:tcPr>
          <w:p w14:paraId="675DD01F">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2025-03</w:t>
            </w:r>
          </w:p>
        </w:tc>
        <w:tc>
          <w:tcPr>
            <w:tcW w:w="1984" w:type="dxa"/>
            <w:tcBorders>
              <w:top w:val="nil"/>
              <w:left w:val="nil"/>
              <w:bottom w:val="nil"/>
              <w:right w:val="nil"/>
            </w:tcBorders>
            <w:vAlign w:val="center"/>
          </w:tcPr>
          <w:p w14:paraId="2B83BA8F">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即时零售</w:t>
            </w:r>
          </w:p>
        </w:tc>
        <w:tc>
          <w:tcPr>
            <w:tcW w:w="2268" w:type="dxa"/>
            <w:tcBorders>
              <w:top w:val="nil"/>
              <w:left w:val="nil"/>
              <w:bottom w:val="nil"/>
              <w:right w:val="nil"/>
            </w:tcBorders>
            <w:vAlign w:val="center"/>
          </w:tcPr>
          <w:p w14:paraId="28F849DC">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44</w:t>
            </w:r>
          </w:p>
        </w:tc>
        <w:tc>
          <w:tcPr>
            <w:tcW w:w="2948" w:type="dxa"/>
            <w:tcBorders>
              <w:top w:val="nil"/>
              <w:left w:val="nil"/>
              <w:bottom w:val="nil"/>
              <w:right w:val="nil"/>
            </w:tcBorders>
            <w:vAlign w:val="center"/>
          </w:tcPr>
          <w:p w14:paraId="53FA5AC0">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平台结算与项目账存在时间差</w:t>
            </w:r>
          </w:p>
        </w:tc>
      </w:tr>
      <w:tr w14:paraId="0C80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center"/>
          </w:tcPr>
          <w:p w14:paraId="41210A61">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2025-04</w:t>
            </w:r>
          </w:p>
        </w:tc>
        <w:tc>
          <w:tcPr>
            <w:tcW w:w="1984" w:type="dxa"/>
            <w:tcBorders>
              <w:top w:val="nil"/>
              <w:left w:val="nil"/>
              <w:bottom w:val="nil"/>
              <w:right w:val="nil"/>
            </w:tcBorders>
            <w:vAlign w:val="center"/>
          </w:tcPr>
          <w:p w14:paraId="5CA6CD5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社区团购</w:t>
            </w:r>
          </w:p>
        </w:tc>
        <w:tc>
          <w:tcPr>
            <w:tcW w:w="2268" w:type="dxa"/>
            <w:tcBorders>
              <w:top w:val="nil"/>
              <w:left w:val="nil"/>
              <w:bottom w:val="nil"/>
              <w:right w:val="nil"/>
            </w:tcBorders>
            <w:vAlign w:val="center"/>
          </w:tcPr>
          <w:p w14:paraId="2EA1F3BD">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27</w:t>
            </w:r>
          </w:p>
        </w:tc>
        <w:tc>
          <w:tcPr>
            <w:tcW w:w="2948" w:type="dxa"/>
            <w:tcBorders>
              <w:top w:val="nil"/>
              <w:left w:val="nil"/>
              <w:bottom w:val="nil"/>
              <w:right w:val="nil"/>
            </w:tcBorders>
            <w:vAlign w:val="center"/>
          </w:tcPr>
          <w:p w14:paraId="59C04400">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对账单缺少项目确认记录</w:t>
            </w:r>
          </w:p>
        </w:tc>
      </w:tr>
      <w:tr w14:paraId="0F8EB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vAlign w:val="center"/>
          </w:tcPr>
          <w:p w14:paraId="5EA2F9FC">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2025-05</w:t>
            </w:r>
          </w:p>
        </w:tc>
        <w:tc>
          <w:tcPr>
            <w:tcW w:w="1984" w:type="dxa"/>
            <w:tcBorders>
              <w:top w:val="nil"/>
              <w:left w:val="nil"/>
              <w:bottom w:val="single" w:color="000000" w:sz="12" w:space="0"/>
              <w:right w:val="nil"/>
            </w:tcBorders>
            <w:vAlign w:val="center"/>
          </w:tcPr>
          <w:p w14:paraId="7AE8FE81">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综合平台</w:t>
            </w:r>
          </w:p>
        </w:tc>
        <w:tc>
          <w:tcPr>
            <w:tcW w:w="2268" w:type="dxa"/>
            <w:tcBorders>
              <w:top w:val="nil"/>
              <w:left w:val="nil"/>
              <w:bottom w:val="single" w:color="000000" w:sz="12" w:space="0"/>
              <w:right w:val="nil"/>
            </w:tcBorders>
            <w:vAlign w:val="center"/>
          </w:tcPr>
          <w:p w14:paraId="422410CD">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40</w:t>
            </w:r>
          </w:p>
        </w:tc>
        <w:tc>
          <w:tcPr>
            <w:tcW w:w="2948" w:type="dxa"/>
            <w:tcBorders>
              <w:top w:val="nil"/>
              <w:left w:val="nil"/>
              <w:bottom w:val="single" w:color="000000" w:sz="12" w:space="0"/>
              <w:right w:val="nil"/>
            </w:tcBorders>
            <w:vAlign w:val="center"/>
          </w:tcPr>
          <w:p w14:paraId="71AB0902">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部分订单收入归集至代运营账户</w:t>
            </w:r>
          </w:p>
        </w:tc>
      </w:tr>
    </w:tbl>
    <w:p w14:paraId="5033F3A2">
      <w:pPr>
        <w:spacing w:after="40"/>
      </w:pPr>
    </w:p>
    <w:p w14:paraId="7BDFE28A">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截至阶段性对账日，平台销售款延迟回流金额合计约142万元。该款项来源于终端消费者，性质上属于项目经营收入。若长期未回流，则会影响门店日常采购、员工薪酬及租金等固定支出安排。</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406"/>
      </w:tblGrid>
      <w:tr w14:paraId="77E5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000000" w:sz="12" w:space="0"/>
              <w:left w:val="nil"/>
              <w:bottom w:val="single" w:color="auto" w:sz="4" w:space="0"/>
              <w:right w:val="nil"/>
            </w:tcBorders>
            <w:shd w:val="clear" w:color="auto" w:fill="D9E2F3"/>
            <w:vAlign w:val="center"/>
          </w:tcPr>
          <w:p w14:paraId="557DB4D5">
            <w:pPr>
              <w:pStyle w:val="166"/>
              <w:widowControl w:val="0"/>
              <w:bidi w:val="0"/>
              <w:spacing w:after="0" w:line="240" w:lineRule="auto"/>
              <w:rPr>
                <w:rFonts w:hint="default" w:eastAsiaTheme="minorEastAsia"/>
                <w:b/>
                <w:bCs/>
                <w:kern w:val="2"/>
                <w:szCs w:val="24"/>
                <w:lang w:val="en-US" w:eastAsia="zh-CN"/>
              </w:rPr>
            </w:pPr>
            <w:r>
              <w:rPr>
                <w:rFonts w:hint="default" w:eastAsiaTheme="minorEastAsia"/>
                <w:b/>
                <w:bCs/>
                <w:kern w:val="2"/>
                <w:szCs w:val="24"/>
                <w:lang w:val="en-US" w:eastAsia="zh-CN"/>
              </w:rPr>
              <w:t>核查维度</w:t>
            </w:r>
          </w:p>
        </w:tc>
        <w:tc>
          <w:tcPr>
            <w:tcW w:w="6406" w:type="dxa"/>
            <w:tcBorders>
              <w:top w:val="single" w:color="000000" w:sz="12" w:space="0"/>
              <w:left w:val="nil"/>
              <w:bottom w:val="single" w:color="auto" w:sz="4" w:space="0"/>
              <w:right w:val="nil"/>
            </w:tcBorders>
            <w:shd w:val="clear" w:color="auto" w:fill="D9E2F3"/>
            <w:vAlign w:val="center"/>
          </w:tcPr>
          <w:p w14:paraId="5545DDBD">
            <w:pPr>
              <w:pStyle w:val="166"/>
              <w:widowControl w:val="0"/>
              <w:bidi w:val="0"/>
              <w:spacing w:after="0" w:line="240" w:lineRule="auto"/>
              <w:rPr>
                <w:rFonts w:hint="default" w:eastAsiaTheme="minorEastAsia"/>
                <w:b/>
                <w:bCs/>
                <w:kern w:val="2"/>
                <w:szCs w:val="24"/>
                <w:lang w:val="en-US" w:eastAsia="zh-CN"/>
              </w:rPr>
            </w:pPr>
            <w:r>
              <w:rPr>
                <w:rFonts w:hint="default" w:eastAsiaTheme="minorEastAsia"/>
                <w:b/>
                <w:bCs/>
                <w:kern w:val="2"/>
                <w:szCs w:val="24"/>
                <w:lang w:val="en-US" w:eastAsia="zh-CN"/>
              </w:rPr>
              <w:t>本项目表现</w:t>
            </w:r>
          </w:p>
        </w:tc>
      </w:tr>
      <w:tr w14:paraId="0F5F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4" w:space="0"/>
              <w:left w:val="nil"/>
              <w:bottom w:val="nil"/>
              <w:right w:val="nil"/>
            </w:tcBorders>
            <w:vAlign w:val="center"/>
          </w:tcPr>
          <w:p w14:paraId="5953DB4C">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资金性质</w:t>
            </w:r>
          </w:p>
        </w:tc>
        <w:tc>
          <w:tcPr>
            <w:tcW w:w="6406" w:type="dxa"/>
            <w:tcBorders>
              <w:top w:val="single" w:color="auto" w:sz="4" w:space="0"/>
              <w:left w:val="nil"/>
              <w:bottom w:val="nil"/>
              <w:right w:val="nil"/>
            </w:tcBorders>
            <w:vAlign w:val="center"/>
          </w:tcPr>
          <w:p w14:paraId="4D6D2E2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平台订单销售收入，通常应归属于项目主体经营收入</w:t>
            </w:r>
          </w:p>
        </w:tc>
      </w:tr>
      <w:tr w14:paraId="7B26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7ADDF241">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行为方式</w:t>
            </w:r>
          </w:p>
        </w:tc>
        <w:tc>
          <w:tcPr>
            <w:tcW w:w="6406" w:type="dxa"/>
            <w:tcBorders>
              <w:top w:val="nil"/>
              <w:left w:val="nil"/>
              <w:bottom w:val="nil"/>
              <w:right w:val="nil"/>
            </w:tcBorders>
            <w:vAlign w:val="center"/>
          </w:tcPr>
          <w:p w14:paraId="2F0CCEB4">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代运营主体先行收取，再通过内部对账安排返还</w:t>
            </w:r>
          </w:p>
        </w:tc>
      </w:tr>
      <w:tr w14:paraId="7E6C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7516BD97">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会计处理</w:t>
            </w:r>
          </w:p>
        </w:tc>
        <w:tc>
          <w:tcPr>
            <w:tcW w:w="6406" w:type="dxa"/>
            <w:tcBorders>
              <w:top w:val="nil"/>
              <w:left w:val="nil"/>
              <w:bottom w:val="nil"/>
              <w:right w:val="nil"/>
            </w:tcBorders>
            <w:vAlign w:val="center"/>
          </w:tcPr>
          <w:p w14:paraId="104E99E7">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形成阶段性应收或往来款项，未及时完成收款闭环</w:t>
            </w:r>
          </w:p>
        </w:tc>
      </w:tr>
      <w:tr w14:paraId="58F8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5194EFAB">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占用时间</w:t>
            </w:r>
          </w:p>
        </w:tc>
        <w:tc>
          <w:tcPr>
            <w:tcW w:w="6406" w:type="dxa"/>
            <w:tcBorders>
              <w:top w:val="nil"/>
              <w:left w:val="nil"/>
              <w:bottom w:val="nil"/>
              <w:right w:val="nil"/>
            </w:tcBorders>
            <w:vAlign w:val="center"/>
          </w:tcPr>
          <w:p w14:paraId="57801B2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部分款项跨月未回流，账龄持续拉长</w:t>
            </w:r>
          </w:p>
        </w:tc>
      </w:tr>
      <w:tr w14:paraId="72DA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single" w:color="000000" w:sz="12" w:space="0"/>
              <w:right w:val="nil"/>
            </w:tcBorders>
            <w:vAlign w:val="center"/>
          </w:tcPr>
          <w:p w14:paraId="2EDCE785">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核查结论</w:t>
            </w:r>
          </w:p>
        </w:tc>
        <w:tc>
          <w:tcPr>
            <w:tcW w:w="6406" w:type="dxa"/>
            <w:tcBorders>
              <w:top w:val="nil"/>
              <w:left w:val="nil"/>
              <w:bottom w:val="single" w:color="000000" w:sz="12" w:space="0"/>
              <w:right w:val="nil"/>
            </w:tcBorders>
            <w:vAlign w:val="center"/>
          </w:tcPr>
          <w:p w14:paraId="75A4F1B3">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需结合平台后台流水与银行回款记录判断是否存在异常占用</w:t>
            </w:r>
          </w:p>
        </w:tc>
      </w:tr>
    </w:tbl>
    <w:p w14:paraId="6EF4ACE7">
      <w:pPr>
        <w:spacing w:after="40"/>
      </w:pPr>
    </w:p>
    <w:p w14:paraId="15070FBC">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三、运营服务费用重复计收</w:t>
      </w:r>
    </w:p>
    <w:p w14:paraId="2F6BFDAC">
      <w:pPr>
        <w:spacing w:before="0" w:after="80" w:line="300" w:lineRule="auto"/>
        <w:ind w:firstLine="480"/>
        <w:rPr>
          <w:rFonts w:hint="eastAsia" w:ascii="宋体" w:hAnsi="宋体" w:eastAsia="宋体" w:cs="宋体"/>
        </w:rPr>
      </w:pPr>
      <w:r>
        <w:rPr>
          <w:rFonts w:hint="eastAsia" w:ascii="宋体" w:hAnsi="宋体" w:eastAsia="宋体" w:cs="宋体"/>
          <w:b w:val="0"/>
          <w:sz w:val="24"/>
        </w:rPr>
        <w:t>根据合作约定，项目应向运营统筹方支付年度管理服务费，该费用已覆盖商品规划、系统支持、基础配送协调及运营管理。实际执行中，项目账户另行按月支付“配送协同费”“系统维护费”“促销统筹费”等费用，形成可能重复收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2041"/>
        <w:gridCol w:w="1757"/>
        <w:gridCol w:w="3572"/>
      </w:tblGrid>
      <w:tr w14:paraId="7F1A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000000" w:themeColor="text1" w:sz="12" w:space="0"/>
              <w:left w:val="nil"/>
              <w:bottom w:val="single" w:color="auto" w:sz="4" w:space="0"/>
              <w:right w:val="nil"/>
            </w:tcBorders>
            <w:shd w:val="clear" w:color="auto" w:fill="D9E2F3"/>
            <w:vAlign w:val="center"/>
          </w:tcPr>
          <w:p w14:paraId="7325C7B3">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月份</w:t>
            </w:r>
          </w:p>
        </w:tc>
        <w:tc>
          <w:tcPr>
            <w:tcW w:w="2041" w:type="dxa"/>
            <w:tcBorders>
              <w:top w:val="single" w:color="000000" w:themeColor="text1" w:sz="12" w:space="0"/>
              <w:left w:val="nil"/>
              <w:bottom w:val="single" w:color="auto" w:sz="4" w:space="0"/>
              <w:right w:val="nil"/>
            </w:tcBorders>
            <w:shd w:val="clear" w:color="auto" w:fill="D9E2F3"/>
            <w:vAlign w:val="center"/>
          </w:tcPr>
          <w:p w14:paraId="79013891">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费用名目</w:t>
            </w:r>
          </w:p>
        </w:tc>
        <w:tc>
          <w:tcPr>
            <w:tcW w:w="1757" w:type="dxa"/>
            <w:tcBorders>
              <w:top w:val="single" w:color="000000" w:themeColor="text1" w:sz="12" w:space="0"/>
              <w:left w:val="nil"/>
              <w:bottom w:val="single" w:color="auto" w:sz="4" w:space="0"/>
              <w:right w:val="nil"/>
            </w:tcBorders>
            <w:shd w:val="clear" w:color="auto" w:fill="D9E2F3"/>
            <w:vAlign w:val="center"/>
          </w:tcPr>
          <w:p w14:paraId="0CA96378">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金额（万元）</w:t>
            </w:r>
          </w:p>
        </w:tc>
        <w:tc>
          <w:tcPr>
            <w:tcW w:w="3572" w:type="dxa"/>
            <w:tcBorders>
              <w:top w:val="single" w:color="000000" w:themeColor="text1" w:sz="12" w:space="0"/>
              <w:left w:val="nil"/>
              <w:bottom w:val="single" w:color="auto" w:sz="4" w:space="0"/>
              <w:right w:val="nil"/>
            </w:tcBorders>
            <w:shd w:val="clear" w:color="auto" w:fill="D9E2F3"/>
            <w:vAlign w:val="center"/>
          </w:tcPr>
          <w:p w14:paraId="224FB2C0">
            <w:pPr>
              <w:pStyle w:val="166"/>
              <w:widowControl w:val="0"/>
              <w:bidi w:val="0"/>
              <w:spacing w:after="0" w:line="240" w:lineRule="auto"/>
              <w:rPr>
                <w:rFonts w:hint="default" w:eastAsiaTheme="minorEastAsia"/>
                <w:kern w:val="2"/>
                <w:szCs w:val="24"/>
                <w:lang w:val="en-US" w:eastAsia="zh-CN"/>
              </w:rPr>
            </w:pPr>
            <w:r>
              <w:rPr>
                <w:rFonts w:hint="default" w:eastAsiaTheme="minorEastAsia"/>
                <w:b/>
                <w:bCs/>
                <w:kern w:val="2"/>
                <w:szCs w:val="24"/>
                <w:lang w:val="en-US" w:eastAsia="zh-CN"/>
              </w:rPr>
              <w:t>需核查问题</w:t>
            </w:r>
          </w:p>
        </w:tc>
      </w:tr>
      <w:tr w14:paraId="6B8E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auto" w:sz="4" w:space="0"/>
              <w:left w:val="nil"/>
              <w:bottom w:val="nil"/>
              <w:right w:val="nil"/>
            </w:tcBorders>
            <w:vAlign w:val="center"/>
          </w:tcPr>
          <w:p w14:paraId="1D51496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2025-03</w:t>
            </w:r>
          </w:p>
        </w:tc>
        <w:tc>
          <w:tcPr>
            <w:tcW w:w="2041" w:type="dxa"/>
            <w:tcBorders>
              <w:top w:val="single" w:color="auto" w:sz="4" w:space="0"/>
              <w:left w:val="nil"/>
              <w:bottom w:val="nil"/>
              <w:right w:val="nil"/>
            </w:tcBorders>
            <w:vAlign w:val="center"/>
          </w:tcPr>
          <w:p w14:paraId="170BA3E4">
            <w:pPr>
              <w:pStyle w:val="166"/>
              <w:widowControl w:val="0"/>
              <w:bidi w:val="0"/>
              <w:spacing w:after="0" w:line="240" w:lineRule="auto"/>
              <w:rPr>
                <w:rFonts w:hint="default" w:eastAsiaTheme="minorEastAsia"/>
                <w:kern w:val="2"/>
                <w:szCs w:val="24"/>
                <w:lang w:val="en-US" w:eastAsia="zh-CN"/>
              </w:rPr>
            </w:pPr>
            <w:r>
              <w:rPr>
                <w:rFonts w:hint="default" w:asciiTheme="minorEastAsia" w:hAnsiTheme="minorEastAsia" w:eastAsiaTheme="minorEastAsia" w:cstheme="minorEastAsia"/>
                <w:kern w:val="2"/>
                <w:szCs w:val="24"/>
                <w:lang w:val="en-US" w:eastAsia="zh-CN"/>
              </w:rPr>
              <w:t>配送协同费</w:t>
            </w:r>
          </w:p>
        </w:tc>
        <w:tc>
          <w:tcPr>
            <w:tcW w:w="1757" w:type="dxa"/>
            <w:tcBorders>
              <w:top w:val="single" w:color="auto" w:sz="4" w:space="0"/>
              <w:left w:val="nil"/>
              <w:bottom w:val="nil"/>
              <w:right w:val="nil"/>
            </w:tcBorders>
            <w:vAlign w:val="center"/>
          </w:tcPr>
          <w:p w14:paraId="799DFA9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12</w:t>
            </w:r>
          </w:p>
        </w:tc>
        <w:tc>
          <w:tcPr>
            <w:tcW w:w="3572" w:type="dxa"/>
            <w:tcBorders>
              <w:top w:val="single" w:color="auto" w:sz="4" w:space="0"/>
              <w:left w:val="nil"/>
              <w:bottom w:val="nil"/>
              <w:right w:val="nil"/>
            </w:tcBorders>
            <w:vAlign w:val="center"/>
          </w:tcPr>
          <w:p w14:paraId="3F028C05">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是否已包含在年度服务费中</w:t>
            </w:r>
          </w:p>
        </w:tc>
      </w:tr>
      <w:tr w14:paraId="5273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nil"/>
              <w:left w:val="nil"/>
              <w:bottom w:val="nil"/>
              <w:right w:val="nil"/>
            </w:tcBorders>
            <w:vAlign w:val="center"/>
          </w:tcPr>
          <w:p w14:paraId="2054D41F">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2025-04</w:t>
            </w:r>
          </w:p>
        </w:tc>
        <w:tc>
          <w:tcPr>
            <w:tcW w:w="2041" w:type="dxa"/>
            <w:tcBorders>
              <w:top w:val="nil"/>
              <w:left w:val="nil"/>
              <w:bottom w:val="nil"/>
              <w:right w:val="nil"/>
            </w:tcBorders>
            <w:vAlign w:val="center"/>
          </w:tcPr>
          <w:p w14:paraId="421F3204">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系统维护费</w:t>
            </w:r>
          </w:p>
        </w:tc>
        <w:tc>
          <w:tcPr>
            <w:tcW w:w="1757" w:type="dxa"/>
            <w:tcBorders>
              <w:top w:val="nil"/>
              <w:left w:val="nil"/>
              <w:bottom w:val="nil"/>
              <w:right w:val="nil"/>
            </w:tcBorders>
            <w:vAlign w:val="center"/>
          </w:tcPr>
          <w:p w14:paraId="52F576C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9</w:t>
            </w:r>
          </w:p>
        </w:tc>
        <w:tc>
          <w:tcPr>
            <w:tcW w:w="3572" w:type="dxa"/>
            <w:tcBorders>
              <w:top w:val="nil"/>
              <w:left w:val="nil"/>
              <w:bottom w:val="nil"/>
              <w:right w:val="nil"/>
            </w:tcBorders>
            <w:vAlign w:val="center"/>
          </w:tcPr>
          <w:p w14:paraId="374ABBC7">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是否存在独立服务成果</w:t>
            </w:r>
          </w:p>
        </w:tc>
      </w:tr>
      <w:tr w14:paraId="6343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nil"/>
              <w:left w:val="nil"/>
              <w:bottom w:val="nil"/>
              <w:right w:val="nil"/>
            </w:tcBorders>
            <w:vAlign w:val="center"/>
          </w:tcPr>
          <w:p w14:paraId="7D2A3C4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2025-05</w:t>
            </w:r>
          </w:p>
        </w:tc>
        <w:tc>
          <w:tcPr>
            <w:tcW w:w="2041" w:type="dxa"/>
            <w:tcBorders>
              <w:top w:val="nil"/>
              <w:left w:val="nil"/>
              <w:bottom w:val="nil"/>
              <w:right w:val="nil"/>
            </w:tcBorders>
            <w:vAlign w:val="center"/>
          </w:tcPr>
          <w:p w14:paraId="7131808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促销统筹费</w:t>
            </w:r>
          </w:p>
        </w:tc>
        <w:tc>
          <w:tcPr>
            <w:tcW w:w="1757" w:type="dxa"/>
            <w:tcBorders>
              <w:top w:val="nil"/>
              <w:left w:val="nil"/>
              <w:bottom w:val="nil"/>
              <w:right w:val="nil"/>
            </w:tcBorders>
            <w:vAlign w:val="center"/>
          </w:tcPr>
          <w:p w14:paraId="0845DEF0">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15</w:t>
            </w:r>
          </w:p>
        </w:tc>
        <w:tc>
          <w:tcPr>
            <w:tcW w:w="3572" w:type="dxa"/>
            <w:tcBorders>
              <w:top w:val="nil"/>
              <w:left w:val="nil"/>
              <w:bottom w:val="nil"/>
              <w:right w:val="nil"/>
            </w:tcBorders>
            <w:vAlign w:val="center"/>
          </w:tcPr>
          <w:p w14:paraId="32443862">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是否与运营服务内容重叠</w:t>
            </w:r>
          </w:p>
        </w:tc>
      </w:tr>
      <w:tr w14:paraId="4F9E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nil"/>
              <w:left w:val="nil"/>
              <w:bottom w:val="nil"/>
              <w:right w:val="nil"/>
            </w:tcBorders>
            <w:vAlign w:val="center"/>
          </w:tcPr>
          <w:p w14:paraId="7A2BFC4E">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2025-06</w:t>
            </w:r>
          </w:p>
        </w:tc>
        <w:tc>
          <w:tcPr>
            <w:tcW w:w="2041" w:type="dxa"/>
            <w:tcBorders>
              <w:top w:val="nil"/>
              <w:left w:val="nil"/>
              <w:bottom w:val="nil"/>
              <w:right w:val="nil"/>
            </w:tcBorders>
            <w:vAlign w:val="center"/>
          </w:tcPr>
          <w:p w14:paraId="5B77095F">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配送协同费</w:t>
            </w:r>
          </w:p>
        </w:tc>
        <w:tc>
          <w:tcPr>
            <w:tcW w:w="1757" w:type="dxa"/>
            <w:tcBorders>
              <w:top w:val="nil"/>
              <w:left w:val="nil"/>
              <w:bottom w:val="nil"/>
              <w:right w:val="nil"/>
            </w:tcBorders>
            <w:vAlign w:val="center"/>
          </w:tcPr>
          <w:p w14:paraId="1088BB63">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11</w:t>
            </w:r>
          </w:p>
        </w:tc>
        <w:tc>
          <w:tcPr>
            <w:tcW w:w="3572" w:type="dxa"/>
            <w:tcBorders>
              <w:top w:val="nil"/>
              <w:left w:val="nil"/>
              <w:bottom w:val="nil"/>
              <w:right w:val="nil"/>
            </w:tcBorders>
            <w:vAlign w:val="center"/>
          </w:tcPr>
          <w:p w14:paraId="29DC5B59">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是否有单独计费依据</w:t>
            </w:r>
          </w:p>
        </w:tc>
      </w:tr>
      <w:tr w14:paraId="0F58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nil"/>
              <w:left w:val="nil"/>
              <w:bottom w:val="nil"/>
              <w:right w:val="nil"/>
            </w:tcBorders>
            <w:vAlign w:val="center"/>
          </w:tcPr>
          <w:p w14:paraId="45ACD243">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2025-07</w:t>
            </w:r>
          </w:p>
        </w:tc>
        <w:tc>
          <w:tcPr>
            <w:tcW w:w="2041" w:type="dxa"/>
            <w:tcBorders>
              <w:top w:val="nil"/>
              <w:left w:val="nil"/>
              <w:bottom w:val="nil"/>
              <w:right w:val="nil"/>
            </w:tcBorders>
            <w:vAlign w:val="center"/>
          </w:tcPr>
          <w:p w14:paraId="2ACDD802">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后台核算支持费</w:t>
            </w:r>
          </w:p>
        </w:tc>
        <w:tc>
          <w:tcPr>
            <w:tcW w:w="1757" w:type="dxa"/>
            <w:tcBorders>
              <w:top w:val="nil"/>
              <w:left w:val="nil"/>
              <w:bottom w:val="nil"/>
              <w:right w:val="nil"/>
            </w:tcBorders>
            <w:vAlign w:val="center"/>
          </w:tcPr>
          <w:p w14:paraId="4E42FEF8">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8</w:t>
            </w:r>
          </w:p>
        </w:tc>
        <w:tc>
          <w:tcPr>
            <w:tcW w:w="3572" w:type="dxa"/>
            <w:tcBorders>
              <w:top w:val="nil"/>
              <w:left w:val="nil"/>
              <w:bottom w:val="nil"/>
              <w:right w:val="nil"/>
            </w:tcBorders>
            <w:vAlign w:val="center"/>
          </w:tcPr>
          <w:p w14:paraId="051A3C02">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是否重复覆盖财务核算职能</w:t>
            </w:r>
          </w:p>
        </w:tc>
      </w:tr>
      <w:tr w14:paraId="71AE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nil"/>
              <w:left w:val="nil"/>
              <w:bottom w:val="single" w:color="000000" w:themeColor="text1" w:sz="12" w:space="0"/>
              <w:right w:val="nil"/>
            </w:tcBorders>
            <w:vAlign w:val="center"/>
          </w:tcPr>
          <w:p w14:paraId="228C9FDD">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2025-08</w:t>
            </w:r>
          </w:p>
        </w:tc>
        <w:tc>
          <w:tcPr>
            <w:tcW w:w="2041" w:type="dxa"/>
            <w:tcBorders>
              <w:top w:val="nil"/>
              <w:left w:val="nil"/>
              <w:bottom w:val="single" w:color="000000" w:themeColor="text1" w:sz="12" w:space="0"/>
              <w:right w:val="nil"/>
            </w:tcBorders>
            <w:vAlign w:val="center"/>
          </w:tcPr>
          <w:p w14:paraId="3A50732F">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节庆活动统筹费</w:t>
            </w:r>
          </w:p>
        </w:tc>
        <w:tc>
          <w:tcPr>
            <w:tcW w:w="1757" w:type="dxa"/>
            <w:tcBorders>
              <w:top w:val="nil"/>
              <w:left w:val="nil"/>
              <w:bottom w:val="single" w:color="000000" w:themeColor="text1" w:sz="12" w:space="0"/>
              <w:right w:val="nil"/>
            </w:tcBorders>
            <w:vAlign w:val="center"/>
          </w:tcPr>
          <w:p w14:paraId="3D226252">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13</w:t>
            </w:r>
          </w:p>
        </w:tc>
        <w:tc>
          <w:tcPr>
            <w:tcW w:w="3572" w:type="dxa"/>
            <w:tcBorders>
              <w:top w:val="nil"/>
              <w:left w:val="nil"/>
              <w:bottom w:val="single" w:color="000000" w:themeColor="text1" w:sz="12" w:space="0"/>
              <w:right w:val="nil"/>
            </w:tcBorders>
            <w:vAlign w:val="center"/>
          </w:tcPr>
          <w:p w14:paraId="05154311">
            <w:pPr>
              <w:pStyle w:val="166"/>
              <w:widowControl w:val="0"/>
              <w:bidi w:val="0"/>
              <w:spacing w:after="0" w:line="240" w:lineRule="auto"/>
              <w:rPr>
                <w:rFonts w:hint="default" w:eastAsiaTheme="minorEastAsia"/>
                <w:kern w:val="2"/>
                <w:szCs w:val="24"/>
                <w:lang w:val="en-US" w:eastAsia="zh-CN"/>
              </w:rPr>
            </w:pPr>
            <w:r>
              <w:rPr>
                <w:rFonts w:hint="default" w:eastAsiaTheme="minorEastAsia"/>
                <w:kern w:val="2"/>
                <w:szCs w:val="24"/>
                <w:lang w:val="en-US" w:eastAsia="zh-CN"/>
              </w:rPr>
              <w:t>活动预算与实际执行是否匹配</w:t>
            </w:r>
          </w:p>
        </w:tc>
      </w:tr>
    </w:tbl>
    <w:p w14:paraId="3BC5635D">
      <w:pPr>
        <w:spacing w:after="40"/>
      </w:pPr>
    </w:p>
    <w:p w14:paraId="6085206B">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上述费用合计约68万元。若合同中未对各项拆分服务作出明确约定，且实际服务成果与年度服务费覆盖范围高度重合，则应要求收费方提供费用依据、服务清单、审批记录和成果确认文件。</w:t>
      </w:r>
    </w:p>
    <w:p w14:paraId="4A2F1CBE">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四、内部账户调拨未形成闭环</w:t>
      </w:r>
    </w:p>
    <w:p w14:paraId="7ACA0358">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项目账内存在若干笔以“周转”“临时调拨”“活动垫付”为摘要的款项，资金转入运营统筹方相关账户后，未在约定周期内形成完整的还款、冲抵或费用确认记录。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709"/>
        <w:gridCol w:w="2232"/>
        <w:gridCol w:w="1675"/>
        <w:gridCol w:w="2304"/>
      </w:tblGrid>
      <w:tr w14:paraId="1462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000000" w:sz="12" w:space="0"/>
              <w:left w:val="nil"/>
              <w:bottom w:val="single" w:color="auto" w:sz="4" w:space="0"/>
              <w:right w:val="nil"/>
            </w:tcBorders>
            <w:shd w:val="clear" w:color="auto" w:fill="D9E2F3"/>
            <w:vAlign w:val="center"/>
          </w:tcPr>
          <w:p w14:paraId="0EB2A26C">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日期</w:t>
            </w:r>
          </w:p>
        </w:tc>
        <w:tc>
          <w:tcPr>
            <w:tcW w:w="1814" w:type="dxa"/>
            <w:tcBorders>
              <w:top w:val="single" w:color="000000" w:sz="12" w:space="0"/>
              <w:left w:val="nil"/>
              <w:bottom w:val="single" w:color="auto" w:sz="4" w:space="0"/>
              <w:right w:val="nil"/>
            </w:tcBorders>
            <w:shd w:val="clear" w:color="auto" w:fill="D9E2F3"/>
            <w:vAlign w:val="center"/>
          </w:tcPr>
          <w:p w14:paraId="3581E7C6">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摘要</w:t>
            </w:r>
          </w:p>
        </w:tc>
        <w:tc>
          <w:tcPr>
            <w:tcW w:w="2381" w:type="dxa"/>
            <w:tcBorders>
              <w:top w:val="single" w:color="000000" w:sz="12" w:space="0"/>
              <w:left w:val="nil"/>
              <w:bottom w:val="single" w:color="auto" w:sz="4" w:space="0"/>
              <w:right w:val="nil"/>
            </w:tcBorders>
            <w:shd w:val="clear" w:color="auto" w:fill="D9E2F3"/>
            <w:vAlign w:val="center"/>
          </w:tcPr>
          <w:p w14:paraId="23332516">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流向主体</w:t>
            </w:r>
          </w:p>
        </w:tc>
        <w:tc>
          <w:tcPr>
            <w:tcW w:w="1757" w:type="dxa"/>
            <w:tcBorders>
              <w:top w:val="single" w:color="000000" w:sz="12" w:space="0"/>
              <w:left w:val="nil"/>
              <w:bottom w:val="single" w:color="auto" w:sz="4" w:space="0"/>
              <w:right w:val="nil"/>
            </w:tcBorders>
            <w:shd w:val="clear" w:color="auto" w:fill="D9E2F3"/>
            <w:vAlign w:val="center"/>
          </w:tcPr>
          <w:p w14:paraId="53EDA45D">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金额（万元）</w:t>
            </w:r>
          </w:p>
        </w:tc>
        <w:tc>
          <w:tcPr>
            <w:tcW w:w="2438" w:type="dxa"/>
            <w:tcBorders>
              <w:top w:val="single" w:color="000000" w:sz="12" w:space="0"/>
              <w:left w:val="nil"/>
              <w:bottom w:val="single" w:color="auto" w:sz="4" w:space="0"/>
              <w:right w:val="nil"/>
            </w:tcBorders>
            <w:shd w:val="clear" w:color="auto" w:fill="D9E2F3"/>
            <w:vAlign w:val="center"/>
          </w:tcPr>
          <w:p w14:paraId="2530D365">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阶段状态</w:t>
            </w:r>
          </w:p>
        </w:tc>
      </w:tr>
      <w:tr w14:paraId="0CEA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auto" w:sz="4" w:space="0"/>
              <w:left w:val="nil"/>
              <w:bottom w:val="nil"/>
              <w:right w:val="nil"/>
            </w:tcBorders>
            <w:vAlign w:val="center"/>
          </w:tcPr>
          <w:p w14:paraId="07CA485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2025-04-18</w:t>
            </w:r>
          </w:p>
        </w:tc>
        <w:tc>
          <w:tcPr>
            <w:tcW w:w="1814" w:type="dxa"/>
            <w:tcBorders>
              <w:top w:val="single" w:color="auto" w:sz="4" w:space="0"/>
              <w:left w:val="nil"/>
              <w:bottom w:val="nil"/>
              <w:right w:val="nil"/>
            </w:tcBorders>
            <w:vAlign w:val="center"/>
          </w:tcPr>
          <w:p w14:paraId="358A44CA">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活动预拨款</w:t>
            </w:r>
          </w:p>
        </w:tc>
        <w:tc>
          <w:tcPr>
            <w:tcW w:w="2381" w:type="dxa"/>
            <w:tcBorders>
              <w:top w:val="single" w:color="auto" w:sz="4" w:space="0"/>
              <w:left w:val="nil"/>
              <w:bottom w:val="nil"/>
              <w:right w:val="nil"/>
            </w:tcBorders>
            <w:vAlign w:val="center"/>
          </w:tcPr>
          <w:p w14:paraId="45A9E0DC">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澜员商业运营有限公司</w:t>
            </w:r>
          </w:p>
        </w:tc>
        <w:tc>
          <w:tcPr>
            <w:tcW w:w="1757" w:type="dxa"/>
            <w:tcBorders>
              <w:top w:val="single" w:color="auto" w:sz="4" w:space="0"/>
              <w:left w:val="nil"/>
              <w:bottom w:val="nil"/>
              <w:right w:val="nil"/>
            </w:tcBorders>
            <w:vAlign w:val="center"/>
          </w:tcPr>
          <w:p w14:paraId="138BA5C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45</w:t>
            </w:r>
          </w:p>
        </w:tc>
        <w:tc>
          <w:tcPr>
            <w:tcW w:w="2438" w:type="dxa"/>
            <w:tcBorders>
              <w:top w:val="single" w:color="auto" w:sz="4" w:space="0"/>
              <w:left w:val="nil"/>
              <w:bottom w:val="nil"/>
              <w:right w:val="nil"/>
            </w:tcBorders>
            <w:vAlign w:val="center"/>
          </w:tcPr>
          <w:p w14:paraId="492DEF0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仅见付款记录，缺少活动结算单</w:t>
            </w:r>
          </w:p>
        </w:tc>
      </w:tr>
      <w:tr w14:paraId="0642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center"/>
          </w:tcPr>
          <w:p w14:paraId="374A5BC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2025-05-26</w:t>
            </w:r>
          </w:p>
        </w:tc>
        <w:tc>
          <w:tcPr>
            <w:tcW w:w="1814" w:type="dxa"/>
            <w:tcBorders>
              <w:top w:val="nil"/>
              <w:left w:val="nil"/>
              <w:bottom w:val="nil"/>
              <w:right w:val="nil"/>
            </w:tcBorders>
            <w:vAlign w:val="center"/>
          </w:tcPr>
          <w:p w14:paraId="6F20E68F">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临时周转款</w:t>
            </w:r>
          </w:p>
        </w:tc>
        <w:tc>
          <w:tcPr>
            <w:tcW w:w="2381" w:type="dxa"/>
            <w:tcBorders>
              <w:top w:val="nil"/>
              <w:left w:val="nil"/>
              <w:bottom w:val="nil"/>
              <w:right w:val="nil"/>
            </w:tcBorders>
            <w:vAlign w:val="center"/>
          </w:tcPr>
          <w:p w14:paraId="150535DE">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澜员商业运营有限公司</w:t>
            </w:r>
          </w:p>
        </w:tc>
        <w:tc>
          <w:tcPr>
            <w:tcW w:w="1757" w:type="dxa"/>
            <w:tcBorders>
              <w:top w:val="nil"/>
              <w:left w:val="nil"/>
              <w:bottom w:val="nil"/>
              <w:right w:val="nil"/>
            </w:tcBorders>
            <w:vAlign w:val="center"/>
          </w:tcPr>
          <w:p w14:paraId="14147E0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60</w:t>
            </w:r>
          </w:p>
        </w:tc>
        <w:tc>
          <w:tcPr>
            <w:tcW w:w="2438" w:type="dxa"/>
            <w:tcBorders>
              <w:top w:val="nil"/>
              <w:left w:val="nil"/>
              <w:bottom w:val="nil"/>
              <w:right w:val="nil"/>
            </w:tcBorders>
            <w:vAlign w:val="center"/>
          </w:tcPr>
          <w:p w14:paraId="4FDB150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未见对应还款流水</w:t>
            </w:r>
          </w:p>
        </w:tc>
      </w:tr>
      <w:tr w14:paraId="063B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center"/>
          </w:tcPr>
          <w:p w14:paraId="08AFEF2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2025-06-15</w:t>
            </w:r>
          </w:p>
        </w:tc>
        <w:tc>
          <w:tcPr>
            <w:tcW w:w="1814" w:type="dxa"/>
            <w:tcBorders>
              <w:top w:val="nil"/>
              <w:left w:val="nil"/>
              <w:bottom w:val="nil"/>
              <w:right w:val="nil"/>
            </w:tcBorders>
            <w:vAlign w:val="center"/>
          </w:tcPr>
          <w:p w14:paraId="19A83849">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渠道保证金垫付</w:t>
            </w:r>
          </w:p>
        </w:tc>
        <w:tc>
          <w:tcPr>
            <w:tcW w:w="2381" w:type="dxa"/>
            <w:tcBorders>
              <w:top w:val="nil"/>
              <w:left w:val="nil"/>
              <w:bottom w:val="nil"/>
              <w:right w:val="nil"/>
            </w:tcBorders>
            <w:vAlign w:val="center"/>
          </w:tcPr>
          <w:p w14:paraId="1E24983D">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星书数字零售有限公司</w:t>
            </w:r>
          </w:p>
        </w:tc>
        <w:tc>
          <w:tcPr>
            <w:tcW w:w="1757" w:type="dxa"/>
            <w:tcBorders>
              <w:top w:val="nil"/>
              <w:left w:val="nil"/>
              <w:bottom w:val="nil"/>
              <w:right w:val="nil"/>
            </w:tcBorders>
            <w:vAlign w:val="center"/>
          </w:tcPr>
          <w:p w14:paraId="5421CE8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32</w:t>
            </w:r>
          </w:p>
        </w:tc>
        <w:tc>
          <w:tcPr>
            <w:tcW w:w="2438" w:type="dxa"/>
            <w:tcBorders>
              <w:top w:val="nil"/>
              <w:left w:val="nil"/>
              <w:bottom w:val="nil"/>
              <w:right w:val="nil"/>
            </w:tcBorders>
            <w:vAlign w:val="center"/>
          </w:tcPr>
          <w:p w14:paraId="7095A35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平台保证金资料待补充</w:t>
            </w:r>
          </w:p>
        </w:tc>
      </w:tr>
      <w:tr w14:paraId="1F39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vAlign w:val="center"/>
          </w:tcPr>
          <w:p w14:paraId="71C0437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2025-08-03</w:t>
            </w:r>
          </w:p>
        </w:tc>
        <w:tc>
          <w:tcPr>
            <w:tcW w:w="1814" w:type="dxa"/>
            <w:tcBorders>
              <w:top w:val="nil"/>
              <w:left w:val="nil"/>
              <w:bottom w:val="single" w:color="000000" w:sz="12" w:space="0"/>
              <w:right w:val="nil"/>
            </w:tcBorders>
            <w:vAlign w:val="center"/>
          </w:tcPr>
          <w:p w14:paraId="3069FEC7">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门店改造垫款</w:t>
            </w:r>
          </w:p>
        </w:tc>
        <w:tc>
          <w:tcPr>
            <w:tcW w:w="2381" w:type="dxa"/>
            <w:tcBorders>
              <w:top w:val="nil"/>
              <w:left w:val="nil"/>
              <w:bottom w:val="single" w:color="000000" w:sz="12" w:space="0"/>
              <w:right w:val="nil"/>
            </w:tcBorders>
            <w:vAlign w:val="center"/>
          </w:tcPr>
          <w:p w14:paraId="53A12DA1">
            <w:pPr>
              <w:pStyle w:val="166"/>
              <w:widowControl w:val="0"/>
              <w:bidi w:val="0"/>
              <w:spacing w:after="0" w:line="240" w:lineRule="auto"/>
              <w:rPr>
                <w:rFonts w:hint="default" w:asciiTheme="minorEastAsia" w:hAnsiTheme="minorEastAsia" w:eastAsiaTheme="minorEastAsia" w:cstheme="minorEastAsia"/>
                <w:kern w:val="2"/>
                <w:szCs w:val="24"/>
                <w:lang w:val="en-US" w:eastAsia="zh-CN"/>
              </w:rPr>
            </w:pPr>
            <w:r>
              <w:rPr>
                <w:rFonts w:hint="default" w:asciiTheme="minorEastAsia" w:hAnsiTheme="minorEastAsia" w:eastAsiaTheme="minorEastAsia" w:cstheme="minorEastAsia"/>
                <w:kern w:val="2"/>
                <w:szCs w:val="24"/>
                <w:lang w:val="en-US" w:eastAsia="zh-CN"/>
              </w:rPr>
              <w:t>澜员商业运营有限公司</w:t>
            </w:r>
          </w:p>
        </w:tc>
        <w:tc>
          <w:tcPr>
            <w:tcW w:w="1757" w:type="dxa"/>
            <w:tcBorders>
              <w:top w:val="nil"/>
              <w:left w:val="nil"/>
              <w:bottom w:val="single" w:color="000000" w:sz="12" w:space="0"/>
              <w:right w:val="nil"/>
            </w:tcBorders>
            <w:vAlign w:val="center"/>
          </w:tcPr>
          <w:p w14:paraId="1EBAA85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43</w:t>
            </w:r>
          </w:p>
        </w:tc>
        <w:tc>
          <w:tcPr>
            <w:tcW w:w="2438" w:type="dxa"/>
            <w:tcBorders>
              <w:top w:val="nil"/>
              <w:left w:val="nil"/>
              <w:bottom w:val="single" w:color="000000" w:sz="12" w:space="0"/>
              <w:right w:val="nil"/>
            </w:tcBorders>
            <w:vAlign w:val="center"/>
          </w:tcPr>
          <w:p w14:paraId="792A474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施工验收资料不完整</w:t>
            </w:r>
          </w:p>
        </w:tc>
      </w:tr>
    </w:tbl>
    <w:p w14:paraId="73342E74">
      <w:pPr>
        <w:spacing w:after="40"/>
      </w:pPr>
    </w:p>
    <w:p w14:paraId="50B2BFAE">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eastAsia" w:ascii="Times New Roman" w:hAnsi="Times New Roman" w:eastAsia="宋体" w:cs="黑体"/>
          <w:b/>
          <w:bCs w:val="0"/>
          <w:color w:val="0F1115"/>
          <w:kern w:val="44"/>
          <w:sz w:val="24"/>
          <w:szCs w:val="30"/>
          <w:shd w:val="clear" w:fill="FFFFFF"/>
          <w:lang w:val="en-US" w:eastAsia="zh-CN" w:bidi="ar-SA"/>
        </w:rPr>
        <w:t>结论：</w:t>
      </w:r>
      <w:r>
        <w:rPr>
          <w:rFonts w:hint="default" w:ascii="Times New Roman" w:hAnsi="Times New Roman" w:eastAsia="宋体" w:cs="黑体"/>
          <w:bCs/>
          <w:color w:val="0F1115"/>
          <w:kern w:val="44"/>
          <w:sz w:val="24"/>
          <w:szCs w:val="30"/>
          <w:shd w:val="clear" w:fill="FFFFFF"/>
          <w:lang w:val="en-US" w:eastAsia="zh-CN" w:bidi="ar-SA"/>
        </w:rPr>
        <w:t>上述四笔款项合计约180万元。款项并非当然构成损失，但如果长期停留在“往来款”状态且缺少交易基础文件，就会导致项目财务报表无法真实反映经营现金流。</w:t>
      </w:r>
    </w:p>
    <w:p w14:paraId="645935EC">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五、库存规模与现金需求对比</w:t>
      </w:r>
    </w:p>
    <w:p w14:paraId="76400250">
      <w:pPr>
        <w:pStyle w:val="165"/>
        <w:shd w:val="clear" w:fill="FFFFFF"/>
        <w:bidi w:val="0"/>
        <w:jc w:val="both"/>
        <w:rPr>
          <w:rFonts w:hint="default"/>
          <w:lang w:eastAsia="zh-CN"/>
        </w:rPr>
      </w:pPr>
      <w:r>
        <w:rPr>
          <w:rFonts w:hint="default"/>
          <w:lang w:eastAsia="zh-CN"/>
        </w:rPr>
        <w:t>为判断预付款项是否超出合理范围，现以2025年6月至9月的月末库存规模进行简化测算。该测算仅用于识别异常，不替代审计结论。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268"/>
        <w:gridCol w:w="2551"/>
        <w:gridCol w:w="2551"/>
      </w:tblGrid>
      <w:tr w14:paraId="6484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12" w:space="0"/>
              <w:left w:val="nil"/>
              <w:bottom w:val="single" w:color="000000" w:themeColor="text1" w:sz="4" w:space="0"/>
              <w:right w:val="nil"/>
            </w:tcBorders>
            <w:shd w:val="clear" w:color="auto" w:fill="D9E2F3"/>
            <w:vAlign w:val="center"/>
          </w:tcPr>
          <w:p w14:paraId="2C50653E">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月份</w:t>
            </w:r>
          </w:p>
        </w:tc>
        <w:tc>
          <w:tcPr>
            <w:tcW w:w="2268" w:type="dxa"/>
            <w:tcBorders>
              <w:top w:val="single" w:color="000000" w:sz="12" w:space="0"/>
              <w:left w:val="nil"/>
              <w:bottom w:val="single" w:color="000000" w:themeColor="text1" w:sz="4" w:space="0"/>
              <w:right w:val="nil"/>
            </w:tcBorders>
            <w:shd w:val="clear" w:color="auto" w:fill="D9E2F3"/>
            <w:vAlign w:val="center"/>
          </w:tcPr>
          <w:p w14:paraId="233845BB">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月末库存规模（万元）</w:t>
            </w:r>
          </w:p>
        </w:tc>
        <w:tc>
          <w:tcPr>
            <w:tcW w:w="2551" w:type="dxa"/>
            <w:tcBorders>
              <w:top w:val="single" w:color="000000" w:sz="12" w:space="0"/>
              <w:left w:val="nil"/>
              <w:bottom w:val="single" w:color="000000" w:themeColor="text1" w:sz="4" w:space="0"/>
              <w:right w:val="nil"/>
            </w:tcBorders>
            <w:shd w:val="clear" w:color="auto" w:fill="D9E2F3"/>
            <w:vAlign w:val="center"/>
          </w:tcPr>
          <w:p w14:paraId="0AFF2E47">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合理现金需求测算（万元）</w:t>
            </w:r>
          </w:p>
        </w:tc>
        <w:tc>
          <w:tcPr>
            <w:tcW w:w="2551" w:type="dxa"/>
            <w:tcBorders>
              <w:top w:val="single" w:color="000000" w:sz="12" w:space="0"/>
              <w:left w:val="nil"/>
              <w:bottom w:val="single" w:color="000000" w:themeColor="text1" w:sz="4" w:space="0"/>
              <w:right w:val="nil"/>
            </w:tcBorders>
            <w:shd w:val="clear" w:color="auto" w:fill="D9E2F3"/>
            <w:vAlign w:val="center"/>
          </w:tcPr>
          <w:p w14:paraId="4CEC1BAF">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实际预付/占用余额（万元）</w:t>
            </w:r>
          </w:p>
        </w:tc>
      </w:tr>
      <w:tr w14:paraId="6836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themeColor="text1" w:sz="4" w:space="0"/>
              <w:left w:val="nil"/>
              <w:bottom w:val="nil"/>
              <w:right w:val="nil"/>
            </w:tcBorders>
            <w:vAlign w:val="center"/>
          </w:tcPr>
          <w:p w14:paraId="24E063A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6月</w:t>
            </w:r>
          </w:p>
        </w:tc>
        <w:tc>
          <w:tcPr>
            <w:tcW w:w="2268" w:type="dxa"/>
            <w:tcBorders>
              <w:top w:val="single" w:color="000000" w:themeColor="text1" w:sz="4" w:space="0"/>
              <w:left w:val="nil"/>
              <w:bottom w:val="nil"/>
              <w:right w:val="nil"/>
            </w:tcBorders>
            <w:vAlign w:val="center"/>
          </w:tcPr>
          <w:p w14:paraId="2510874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372</w:t>
            </w:r>
          </w:p>
        </w:tc>
        <w:tc>
          <w:tcPr>
            <w:tcW w:w="2551" w:type="dxa"/>
            <w:tcBorders>
              <w:top w:val="single" w:color="000000" w:themeColor="text1" w:sz="4" w:space="0"/>
              <w:left w:val="nil"/>
              <w:bottom w:val="nil"/>
              <w:right w:val="nil"/>
            </w:tcBorders>
            <w:vAlign w:val="center"/>
          </w:tcPr>
          <w:p w14:paraId="64C26AF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186</w:t>
            </w:r>
          </w:p>
        </w:tc>
        <w:tc>
          <w:tcPr>
            <w:tcW w:w="2551" w:type="dxa"/>
            <w:tcBorders>
              <w:top w:val="single" w:color="000000" w:themeColor="text1" w:sz="4" w:space="0"/>
              <w:left w:val="nil"/>
              <w:bottom w:val="nil"/>
              <w:right w:val="nil"/>
            </w:tcBorders>
            <w:vAlign w:val="center"/>
          </w:tcPr>
          <w:p w14:paraId="6959CDC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278</w:t>
            </w:r>
          </w:p>
        </w:tc>
      </w:tr>
      <w:tr w14:paraId="256C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vAlign w:val="center"/>
          </w:tcPr>
          <w:p w14:paraId="5CDF30A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7月</w:t>
            </w:r>
          </w:p>
        </w:tc>
        <w:tc>
          <w:tcPr>
            <w:tcW w:w="2268" w:type="dxa"/>
            <w:tcBorders>
              <w:top w:val="nil"/>
              <w:left w:val="nil"/>
              <w:bottom w:val="nil"/>
              <w:right w:val="nil"/>
            </w:tcBorders>
            <w:vAlign w:val="center"/>
          </w:tcPr>
          <w:p w14:paraId="128C189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356</w:t>
            </w:r>
          </w:p>
        </w:tc>
        <w:tc>
          <w:tcPr>
            <w:tcW w:w="2551" w:type="dxa"/>
            <w:tcBorders>
              <w:top w:val="nil"/>
              <w:left w:val="nil"/>
              <w:bottom w:val="nil"/>
              <w:right w:val="nil"/>
            </w:tcBorders>
            <w:vAlign w:val="center"/>
          </w:tcPr>
          <w:p w14:paraId="75B98EF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178</w:t>
            </w:r>
          </w:p>
        </w:tc>
        <w:tc>
          <w:tcPr>
            <w:tcW w:w="2551" w:type="dxa"/>
            <w:tcBorders>
              <w:top w:val="nil"/>
              <w:left w:val="nil"/>
              <w:bottom w:val="nil"/>
              <w:right w:val="nil"/>
            </w:tcBorders>
            <w:vAlign w:val="center"/>
          </w:tcPr>
          <w:p w14:paraId="0C46433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291</w:t>
            </w:r>
          </w:p>
        </w:tc>
      </w:tr>
      <w:tr w14:paraId="7CA6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nil"/>
              <w:right w:val="nil"/>
            </w:tcBorders>
            <w:vAlign w:val="center"/>
          </w:tcPr>
          <w:p w14:paraId="0586EBD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8月</w:t>
            </w:r>
          </w:p>
        </w:tc>
        <w:tc>
          <w:tcPr>
            <w:tcW w:w="2268" w:type="dxa"/>
            <w:tcBorders>
              <w:top w:val="nil"/>
              <w:left w:val="nil"/>
              <w:bottom w:val="nil"/>
              <w:right w:val="nil"/>
            </w:tcBorders>
            <w:vAlign w:val="center"/>
          </w:tcPr>
          <w:p w14:paraId="7A5CF04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364</w:t>
            </w:r>
          </w:p>
        </w:tc>
        <w:tc>
          <w:tcPr>
            <w:tcW w:w="2551" w:type="dxa"/>
            <w:tcBorders>
              <w:top w:val="nil"/>
              <w:left w:val="nil"/>
              <w:bottom w:val="nil"/>
              <w:right w:val="nil"/>
            </w:tcBorders>
            <w:vAlign w:val="center"/>
          </w:tcPr>
          <w:p w14:paraId="11938A5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182</w:t>
            </w:r>
          </w:p>
        </w:tc>
        <w:tc>
          <w:tcPr>
            <w:tcW w:w="2551" w:type="dxa"/>
            <w:tcBorders>
              <w:top w:val="nil"/>
              <w:left w:val="nil"/>
              <w:bottom w:val="nil"/>
              <w:right w:val="nil"/>
            </w:tcBorders>
            <w:vAlign w:val="center"/>
          </w:tcPr>
          <w:p w14:paraId="13A6440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286</w:t>
            </w:r>
          </w:p>
        </w:tc>
      </w:tr>
      <w:tr w14:paraId="7E59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vAlign w:val="center"/>
          </w:tcPr>
          <w:p w14:paraId="207E651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9月</w:t>
            </w:r>
          </w:p>
        </w:tc>
        <w:tc>
          <w:tcPr>
            <w:tcW w:w="2268" w:type="dxa"/>
            <w:tcBorders>
              <w:top w:val="nil"/>
              <w:left w:val="nil"/>
              <w:bottom w:val="single" w:color="000000" w:sz="12" w:space="0"/>
              <w:right w:val="nil"/>
            </w:tcBorders>
            <w:vAlign w:val="center"/>
          </w:tcPr>
          <w:p w14:paraId="75C81B9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381</w:t>
            </w:r>
          </w:p>
        </w:tc>
        <w:tc>
          <w:tcPr>
            <w:tcW w:w="2551" w:type="dxa"/>
            <w:tcBorders>
              <w:top w:val="nil"/>
              <w:left w:val="nil"/>
              <w:bottom w:val="single" w:color="000000" w:sz="12" w:space="0"/>
              <w:right w:val="nil"/>
            </w:tcBorders>
            <w:vAlign w:val="center"/>
          </w:tcPr>
          <w:p w14:paraId="675257E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191</w:t>
            </w:r>
          </w:p>
        </w:tc>
        <w:tc>
          <w:tcPr>
            <w:tcW w:w="2551" w:type="dxa"/>
            <w:tcBorders>
              <w:top w:val="nil"/>
              <w:left w:val="nil"/>
              <w:bottom w:val="single" w:color="000000" w:sz="12" w:space="0"/>
              <w:right w:val="nil"/>
            </w:tcBorders>
            <w:vAlign w:val="center"/>
          </w:tcPr>
          <w:p w14:paraId="70C42EF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286</w:t>
            </w:r>
          </w:p>
        </w:tc>
      </w:tr>
    </w:tbl>
    <w:p w14:paraId="37578183">
      <w:pPr>
        <w:spacing w:after="40"/>
      </w:pPr>
    </w:p>
    <w:p w14:paraId="161C5A6D">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从对比结果看，实际预付或占用余额持续高于合理现金需求。若库存未出现快速扩张，付款余额却长期维持高位，则需要进一步核对供应链端是否存在提前收款、延迟发货或以其他项目需求占用本项目资金的情形。</w:t>
      </w:r>
    </w:p>
    <w:p w14:paraId="6032B13D">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六、待核查影响资金汇总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2654"/>
        <w:gridCol w:w="762"/>
        <w:gridCol w:w="3357"/>
      </w:tblGrid>
      <w:tr w14:paraId="40B4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single" w:color="000000" w:sz="12" w:space="0"/>
              <w:left w:val="nil"/>
              <w:bottom w:val="single" w:color="000000" w:sz="4" w:space="0"/>
              <w:right w:val="nil"/>
            </w:tcBorders>
            <w:shd w:val="clear" w:color="auto" w:fill="D9E2F3"/>
            <w:vAlign w:val="center"/>
          </w:tcPr>
          <w:p w14:paraId="289A6EB0">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异常方式</w:t>
            </w:r>
          </w:p>
        </w:tc>
        <w:tc>
          <w:tcPr>
            <w:tcW w:w="2654" w:type="dxa"/>
            <w:tcBorders>
              <w:top w:val="single" w:color="000000" w:sz="12" w:space="0"/>
              <w:left w:val="nil"/>
              <w:bottom w:val="single" w:color="000000" w:sz="4" w:space="0"/>
              <w:right w:val="nil"/>
            </w:tcBorders>
            <w:shd w:val="clear" w:color="auto" w:fill="D9E2F3"/>
            <w:vAlign w:val="center"/>
          </w:tcPr>
          <w:p w14:paraId="351389BF">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涉及主体</w:t>
            </w:r>
          </w:p>
        </w:tc>
        <w:tc>
          <w:tcPr>
            <w:tcW w:w="762" w:type="dxa"/>
            <w:tcBorders>
              <w:top w:val="single" w:color="000000" w:sz="12" w:space="0"/>
              <w:left w:val="nil"/>
              <w:bottom w:val="single" w:color="000000" w:sz="4" w:space="0"/>
              <w:right w:val="nil"/>
            </w:tcBorders>
            <w:shd w:val="clear" w:color="auto" w:fill="D9E2F3"/>
            <w:vAlign w:val="center"/>
          </w:tcPr>
          <w:p w14:paraId="0A477DBA">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金额</w:t>
            </w:r>
          </w:p>
        </w:tc>
        <w:tc>
          <w:tcPr>
            <w:tcW w:w="3357" w:type="dxa"/>
            <w:tcBorders>
              <w:top w:val="single" w:color="000000" w:sz="12" w:space="0"/>
              <w:left w:val="nil"/>
              <w:bottom w:val="single" w:color="000000" w:sz="4" w:space="0"/>
              <w:right w:val="nil"/>
            </w:tcBorders>
            <w:shd w:val="clear" w:color="auto" w:fill="D9E2F3"/>
            <w:vAlign w:val="center"/>
          </w:tcPr>
          <w:p w14:paraId="5E18952B">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主要依据</w:t>
            </w:r>
          </w:p>
        </w:tc>
      </w:tr>
      <w:tr w14:paraId="6A4B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single" w:color="000000" w:sz="4" w:space="0"/>
              <w:left w:val="nil"/>
              <w:bottom w:val="nil"/>
              <w:right w:val="nil"/>
            </w:tcBorders>
            <w:vAlign w:val="center"/>
          </w:tcPr>
          <w:p w14:paraId="4CCCA01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预付采购款余额</w:t>
            </w:r>
          </w:p>
        </w:tc>
        <w:tc>
          <w:tcPr>
            <w:tcW w:w="2654" w:type="dxa"/>
            <w:tcBorders>
              <w:top w:val="single" w:color="000000" w:sz="4" w:space="0"/>
              <w:left w:val="nil"/>
              <w:bottom w:val="nil"/>
              <w:right w:val="nil"/>
            </w:tcBorders>
            <w:vAlign w:val="center"/>
          </w:tcPr>
          <w:p w14:paraId="6C84377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沐域供应链服务有限公司</w:t>
            </w:r>
          </w:p>
        </w:tc>
        <w:tc>
          <w:tcPr>
            <w:tcW w:w="762" w:type="dxa"/>
            <w:tcBorders>
              <w:top w:val="single" w:color="000000" w:sz="4" w:space="0"/>
              <w:left w:val="nil"/>
              <w:bottom w:val="nil"/>
              <w:right w:val="nil"/>
            </w:tcBorders>
            <w:vAlign w:val="center"/>
          </w:tcPr>
          <w:p w14:paraId="28EDE12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286</w:t>
            </w:r>
          </w:p>
        </w:tc>
        <w:tc>
          <w:tcPr>
            <w:tcW w:w="3357" w:type="dxa"/>
            <w:tcBorders>
              <w:top w:val="single" w:color="000000" w:sz="4" w:space="0"/>
              <w:left w:val="nil"/>
              <w:bottom w:val="nil"/>
              <w:right w:val="nil"/>
            </w:tcBorders>
            <w:vAlign w:val="center"/>
          </w:tcPr>
          <w:p w14:paraId="1A3F576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付款台账、供应商往来明细、库存测算</w:t>
            </w:r>
          </w:p>
        </w:tc>
      </w:tr>
      <w:tr w14:paraId="4B24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nil"/>
              <w:left w:val="nil"/>
              <w:bottom w:val="single" w:color="000000" w:sz="12" w:space="0"/>
              <w:right w:val="nil"/>
            </w:tcBorders>
            <w:vAlign w:val="center"/>
          </w:tcPr>
          <w:p w14:paraId="176BAD4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平台销售款延迟回流</w:t>
            </w:r>
          </w:p>
        </w:tc>
        <w:tc>
          <w:tcPr>
            <w:tcW w:w="2654" w:type="dxa"/>
            <w:tcBorders>
              <w:top w:val="nil"/>
              <w:left w:val="nil"/>
              <w:bottom w:val="single" w:color="000000" w:sz="12" w:space="0"/>
              <w:right w:val="nil"/>
            </w:tcBorders>
            <w:vAlign w:val="center"/>
          </w:tcPr>
          <w:p w14:paraId="24EB97D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星书数字零售有限公司</w:t>
            </w:r>
          </w:p>
        </w:tc>
        <w:tc>
          <w:tcPr>
            <w:tcW w:w="762" w:type="dxa"/>
            <w:tcBorders>
              <w:top w:val="nil"/>
              <w:left w:val="nil"/>
              <w:bottom w:val="single" w:color="000000" w:sz="12" w:space="0"/>
              <w:right w:val="nil"/>
            </w:tcBorders>
            <w:vAlign w:val="center"/>
          </w:tcPr>
          <w:p w14:paraId="291FD0B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142</w:t>
            </w:r>
          </w:p>
        </w:tc>
        <w:tc>
          <w:tcPr>
            <w:tcW w:w="3357" w:type="dxa"/>
            <w:tcBorders>
              <w:top w:val="nil"/>
              <w:left w:val="nil"/>
              <w:bottom w:val="single" w:color="000000" w:sz="12" w:space="0"/>
              <w:right w:val="nil"/>
            </w:tcBorders>
            <w:vAlign w:val="center"/>
          </w:tcPr>
          <w:p w14:paraId="336486E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平台结算记录、项目应收明细</w:t>
            </w:r>
          </w:p>
        </w:tc>
      </w:tr>
      <w:tr w14:paraId="6E50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single" w:color="000000" w:sz="12" w:space="0"/>
              <w:left w:val="nil"/>
              <w:bottom w:val="single" w:color="000000" w:themeColor="text1" w:sz="4" w:space="0"/>
              <w:right w:val="nil"/>
            </w:tcBorders>
            <w:vAlign w:val="center"/>
          </w:tcPr>
          <w:p w14:paraId="358CDB4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服务费用重复计收</w:t>
            </w:r>
          </w:p>
        </w:tc>
        <w:tc>
          <w:tcPr>
            <w:tcW w:w="2654" w:type="dxa"/>
            <w:tcBorders>
              <w:top w:val="single" w:color="000000" w:sz="12" w:space="0"/>
              <w:left w:val="nil"/>
              <w:bottom w:val="single" w:color="000000" w:themeColor="text1" w:sz="4" w:space="0"/>
              <w:right w:val="nil"/>
            </w:tcBorders>
            <w:vAlign w:val="center"/>
          </w:tcPr>
          <w:p w14:paraId="52D3B22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澜员商业运营有限公司</w:t>
            </w:r>
          </w:p>
        </w:tc>
        <w:tc>
          <w:tcPr>
            <w:tcW w:w="762" w:type="dxa"/>
            <w:tcBorders>
              <w:top w:val="single" w:color="000000" w:sz="12" w:space="0"/>
              <w:left w:val="nil"/>
              <w:bottom w:val="single" w:color="000000" w:themeColor="text1" w:sz="4" w:space="0"/>
              <w:right w:val="nil"/>
            </w:tcBorders>
            <w:vAlign w:val="center"/>
          </w:tcPr>
          <w:p w14:paraId="37E3F25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68</w:t>
            </w:r>
          </w:p>
        </w:tc>
        <w:tc>
          <w:tcPr>
            <w:tcW w:w="3357" w:type="dxa"/>
            <w:tcBorders>
              <w:top w:val="single" w:color="000000" w:sz="12" w:space="0"/>
              <w:left w:val="nil"/>
              <w:bottom w:val="single" w:color="000000" w:themeColor="text1" w:sz="4" w:space="0"/>
              <w:right w:val="nil"/>
            </w:tcBorders>
            <w:vAlign w:val="center"/>
          </w:tcPr>
          <w:p w14:paraId="2F5BDF0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费用凭证、合同服务范围</w:t>
            </w:r>
          </w:p>
        </w:tc>
      </w:tr>
      <w:tr w14:paraId="006C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single" w:color="000000" w:themeColor="text1" w:sz="4" w:space="0"/>
              <w:left w:val="nil"/>
              <w:bottom w:val="nil"/>
              <w:right w:val="nil"/>
            </w:tcBorders>
            <w:vAlign w:val="center"/>
          </w:tcPr>
          <w:p w14:paraId="7921B14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内部账户调拨未闭环</w:t>
            </w:r>
          </w:p>
        </w:tc>
        <w:tc>
          <w:tcPr>
            <w:tcW w:w="2654" w:type="dxa"/>
            <w:tcBorders>
              <w:top w:val="single" w:color="000000" w:themeColor="text1" w:sz="4" w:space="0"/>
              <w:left w:val="nil"/>
              <w:bottom w:val="nil"/>
              <w:right w:val="nil"/>
            </w:tcBorders>
            <w:vAlign w:val="center"/>
          </w:tcPr>
          <w:p w14:paraId="7248305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澜员商业运营有限公司等</w:t>
            </w:r>
          </w:p>
        </w:tc>
        <w:tc>
          <w:tcPr>
            <w:tcW w:w="762" w:type="dxa"/>
            <w:tcBorders>
              <w:top w:val="single" w:color="000000" w:themeColor="text1" w:sz="4" w:space="0"/>
              <w:left w:val="nil"/>
              <w:bottom w:val="nil"/>
              <w:right w:val="nil"/>
            </w:tcBorders>
            <w:vAlign w:val="center"/>
          </w:tcPr>
          <w:p w14:paraId="788BEA9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180</w:t>
            </w:r>
          </w:p>
        </w:tc>
        <w:tc>
          <w:tcPr>
            <w:tcW w:w="3357" w:type="dxa"/>
            <w:tcBorders>
              <w:top w:val="single" w:color="000000" w:themeColor="text1" w:sz="4" w:space="0"/>
              <w:left w:val="nil"/>
              <w:bottom w:val="nil"/>
              <w:right w:val="nil"/>
            </w:tcBorders>
            <w:vAlign w:val="center"/>
          </w:tcPr>
          <w:p w14:paraId="6A275AD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银行流水、内部审批记录</w:t>
            </w:r>
          </w:p>
        </w:tc>
      </w:tr>
      <w:tr w14:paraId="3159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5" w:type="dxa"/>
            <w:tcBorders>
              <w:top w:val="nil"/>
              <w:left w:val="nil"/>
              <w:bottom w:val="single" w:color="000000" w:sz="12" w:space="0"/>
              <w:right w:val="nil"/>
            </w:tcBorders>
            <w:vAlign w:val="center"/>
          </w:tcPr>
          <w:p w14:paraId="2F23237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合计</w:t>
            </w:r>
          </w:p>
        </w:tc>
        <w:tc>
          <w:tcPr>
            <w:tcW w:w="2654" w:type="dxa"/>
            <w:tcBorders>
              <w:top w:val="nil"/>
              <w:left w:val="nil"/>
              <w:bottom w:val="single" w:color="000000" w:sz="12" w:space="0"/>
              <w:right w:val="nil"/>
            </w:tcBorders>
            <w:vAlign w:val="center"/>
          </w:tcPr>
          <w:p w14:paraId="0E06BF6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w:t>
            </w:r>
          </w:p>
        </w:tc>
        <w:tc>
          <w:tcPr>
            <w:tcW w:w="762" w:type="dxa"/>
            <w:tcBorders>
              <w:top w:val="nil"/>
              <w:left w:val="nil"/>
              <w:bottom w:val="single" w:color="000000" w:sz="12" w:space="0"/>
              <w:right w:val="nil"/>
            </w:tcBorders>
            <w:vAlign w:val="center"/>
          </w:tcPr>
          <w:p w14:paraId="602B11A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676</w:t>
            </w:r>
          </w:p>
        </w:tc>
        <w:tc>
          <w:tcPr>
            <w:tcW w:w="3357" w:type="dxa"/>
            <w:tcBorders>
              <w:top w:val="nil"/>
              <w:left w:val="nil"/>
              <w:bottom w:val="single" w:color="000000" w:sz="12" w:space="0"/>
              <w:right w:val="nil"/>
            </w:tcBorders>
            <w:vAlign w:val="center"/>
          </w:tcPr>
          <w:p w14:paraId="3A74AFF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以上事项相互独立，最终以专项审计确认数为准</w:t>
            </w:r>
          </w:p>
        </w:tc>
      </w:tr>
    </w:tbl>
    <w:p w14:paraId="4D8B504D">
      <w:pPr>
        <w:spacing w:after="40"/>
      </w:pPr>
    </w:p>
    <w:p w14:paraId="79DD3538">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核心结论：</w:t>
      </w:r>
      <w:r>
        <w:rPr>
          <w:rFonts w:hint="default" w:ascii="Times New Roman" w:hAnsi="Times New Roman" w:eastAsia="宋体" w:cs="黑体"/>
          <w:bCs/>
          <w:color w:val="0F1115"/>
          <w:kern w:val="44"/>
          <w:sz w:val="24"/>
          <w:szCs w:val="30"/>
          <w:shd w:val="clear" w:fill="FFFFFF"/>
          <w:lang w:val="en-US" w:eastAsia="zh-CN" w:bidi="ar-SA"/>
        </w:rPr>
        <w:t>项目异常主要集中在提前付款、平台收入回流滞后、费用拆分计收和内部调拨不闭环四个方面。上述事项共同导致项目主体现金流被动收紧，并削弱了本地合作方对资金使用的监督能力。</w:t>
      </w:r>
    </w:p>
    <w:p w14:paraId="02A4F85E">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val="en-US" w:eastAsia="zh-CN"/>
        </w:rPr>
      </w:pPr>
      <w:r>
        <w:rPr>
          <w:rFonts w:hint="default" w:ascii="黑体" w:hAnsi="黑体" w:eastAsia="黑体" w:cstheme="minorBidi"/>
          <w:bCs w:val="0"/>
          <w:kern w:val="44"/>
          <w:sz w:val="30"/>
          <w:szCs w:val="24"/>
          <w:lang w:val="en-US" w:eastAsia="zh-CN"/>
        </w:rPr>
        <w:t>第三部分：流程及内控问题分析</w:t>
      </w:r>
    </w:p>
    <w:p w14:paraId="17EF814D">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一、付款审批链条不完整</w:t>
      </w:r>
    </w:p>
    <w:p w14:paraId="287FF02B">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从目前资料看，部分大额付款仅能看到银行流水和付款摘要，缺少完整的采购申请、合同订单、入库验收、月度对账和付款审批。此类缺口会导致财务凭证虽存在，但业务真实性、金额合理性及付款时点仍无法充分说明。</w:t>
      </w:r>
    </w:p>
    <w:p w14:paraId="7BDF7BFB">
      <w:pPr>
        <w:spacing w:before="0" w:after="80" w:line="300" w:lineRule="auto"/>
        <w:ind w:firstLine="480"/>
      </w:pPr>
      <w:r>
        <w:rPr>
          <w:rFonts w:hint="default" w:ascii="Times New Roman" w:hAnsi="Times New Roman" w:eastAsia="宋体" w:cs="黑体"/>
          <w:bCs/>
          <w:color w:val="0F1115"/>
          <w:kern w:val="44"/>
          <w:sz w:val="24"/>
          <w:szCs w:val="30"/>
          <w:shd w:val="clear" w:fill="FFFFFF"/>
          <w:lang w:val="en-US" w:eastAsia="zh-CN" w:bidi="ar-SA"/>
        </w:rPr>
        <w:t>建议以每笔款项为单位建立“付款事实—业务依据—审批记录—后续冲抵—余额确认”五项资料链。对于无法匹配完整资料链的款项，应先列入重点核查清单。</w:t>
      </w:r>
    </w:p>
    <w:p w14:paraId="49B6E4BB">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二、平台账户与项目账户分离</w:t>
      </w:r>
    </w:p>
    <w:p w14:paraId="07FCEDD1">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平台订单收入集中进入代运营主体账户，短期内可以提高平台运营效率，但也造成项目主体无法第一时间掌握销售回款。若对账规则、回款日期、手续费扣除标准和异常订单处理规则不明确，收入端就会持续形成信息不对称。</w:t>
      </w:r>
    </w:p>
    <w:p w14:paraId="7D123A61">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建议要求平台代运营方提供后台原始订单下载、平台结算单、退款明细、手续费明细、实际回款流水及回款差异说明，并由项目主体逐月盖章确认。</w:t>
      </w:r>
    </w:p>
    <w:p w14:paraId="7ED0B331">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三、费用项目拆分缺少边界</w:t>
      </w:r>
    </w:p>
    <w:p w14:paraId="5C72BE26">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年度服务费的核心意义是将运营支持事项打包计价，降低项目管理成本。如果后续又将配送、系统、促销、后台核算等事项拆分计费，应重新确认合同依据和服务成果。否则，费用边界不清会直接侵蚀项目利润。</w:t>
      </w:r>
    </w:p>
    <w:p w14:paraId="5EB25A48">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四、共同财务监督未能落地</w:t>
      </w:r>
    </w:p>
    <w:p w14:paraId="69A5BD5C">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合作安排虽强调本地合作方享有经营监督权，但实际执行中，银行U盾、平台账户、供应商对账系统和财务软件权限主要由运营端掌握。本地合作方往往只能事后取得部分流水，难以及时阻止异常付款。</w:t>
      </w:r>
    </w:p>
    <w:p w14:paraId="20904BE3">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该问题是本项目多项异常能够跨月累积的制度原因。若后续继续经营，应立即建立双人复核、限额审批、平台账务共享和月度闭环会议制度。</w:t>
      </w:r>
    </w:p>
    <w:p w14:paraId="36114EF2">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eastAsia="zh-CN"/>
        </w:rPr>
      </w:pPr>
    </w:p>
    <w:p w14:paraId="4D115DD2">
      <w:pPr>
        <w:spacing w:after="40"/>
      </w:pPr>
    </w:p>
    <w:p w14:paraId="43D6F465">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eastAsia="zh-CN"/>
        </w:rPr>
      </w:pPr>
      <w:r>
        <w:rPr>
          <w:rFonts w:hint="default" w:ascii="黑体" w:hAnsi="黑体" w:eastAsia="黑体" w:cstheme="minorBidi"/>
          <w:bCs w:val="0"/>
          <w:kern w:val="44"/>
          <w:sz w:val="30"/>
          <w:szCs w:val="24"/>
          <w:lang w:eastAsia="zh-CN"/>
        </w:rPr>
        <w:t>第</w:t>
      </w:r>
      <w:r>
        <w:rPr>
          <w:rFonts w:hint="eastAsia" w:ascii="黑体" w:hAnsi="黑体" w:eastAsia="黑体" w:cstheme="minorBidi"/>
          <w:bCs w:val="0"/>
          <w:kern w:val="44"/>
          <w:sz w:val="30"/>
          <w:szCs w:val="24"/>
          <w:lang w:val="en-US" w:eastAsia="zh-CN"/>
        </w:rPr>
        <w:t>四</w:t>
      </w:r>
      <w:r>
        <w:rPr>
          <w:rFonts w:hint="default" w:ascii="黑体" w:hAnsi="黑体" w:eastAsia="黑体" w:cstheme="minorBidi"/>
          <w:bCs w:val="0"/>
          <w:kern w:val="44"/>
          <w:sz w:val="30"/>
          <w:szCs w:val="24"/>
          <w:lang w:eastAsia="zh-CN"/>
        </w:rPr>
        <w:t>部分：材料清单（共18份）</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835"/>
        <w:gridCol w:w="5102"/>
      </w:tblGrid>
      <w:tr w14:paraId="299A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907" w:type="dxa"/>
            <w:tcBorders>
              <w:top w:val="single" w:color="000000" w:themeColor="text1" w:sz="12" w:space="0"/>
              <w:left w:val="nil"/>
              <w:bottom w:val="single" w:color="auto" w:sz="4" w:space="0"/>
              <w:right w:val="nil"/>
            </w:tcBorders>
            <w:shd w:val="clear" w:color="auto" w:fill="D9E2F3"/>
            <w:vAlign w:val="center"/>
          </w:tcPr>
          <w:p w14:paraId="3D194285">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编号</w:t>
            </w:r>
          </w:p>
        </w:tc>
        <w:tc>
          <w:tcPr>
            <w:tcW w:w="2835" w:type="dxa"/>
            <w:tcBorders>
              <w:top w:val="single" w:color="000000" w:themeColor="text1" w:sz="12" w:space="0"/>
              <w:left w:val="nil"/>
              <w:bottom w:val="single" w:color="auto" w:sz="4" w:space="0"/>
              <w:right w:val="nil"/>
            </w:tcBorders>
            <w:shd w:val="clear" w:color="auto" w:fill="D9E2F3"/>
            <w:vAlign w:val="center"/>
          </w:tcPr>
          <w:p w14:paraId="60558326">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文件名称</w:t>
            </w:r>
          </w:p>
        </w:tc>
        <w:tc>
          <w:tcPr>
            <w:tcW w:w="5102" w:type="dxa"/>
            <w:tcBorders>
              <w:top w:val="single" w:color="000000" w:themeColor="text1" w:sz="12" w:space="0"/>
              <w:left w:val="nil"/>
              <w:bottom w:val="single" w:color="auto" w:sz="4" w:space="0"/>
              <w:right w:val="nil"/>
            </w:tcBorders>
            <w:shd w:val="clear" w:color="auto" w:fill="D9E2F3"/>
            <w:vAlign w:val="center"/>
          </w:tcPr>
          <w:p w14:paraId="3C8C97C8">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核心证明内容</w:t>
            </w:r>
          </w:p>
        </w:tc>
      </w:tr>
      <w:tr w14:paraId="2B5A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single" w:color="auto" w:sz="4" w:space="0"/>
              <w:left w:val="nil"/>
              <w:bottom w:val="nil"/>
              <w:right w:val="nil"/>
            </w:tcBorders>
            <w:vAlign w:val="center"/>
          </w:tcPr>
          <w:p w14:paraId="75ED328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w:t>
            </w:r>
          </w:p>
        </w:tc>
        <w:tc>
          <w:tcPr>
            <w:tcW w:w="2835" w:type="dxa"/>
            <w:tcBorders>
              <w:top w:val="single" w:color="auto" w:sz="4" w:space="0"/>
              <w:left w:val="nil"/>
              <w:bottom w:val="nil"/>
              <w:right w:val="nil"/>
            </w:tcBorders>
            <w:vAlign w:val="center"/>
          </w:tcPr>
          <w:p w14:paraId="7B93AA7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《项目合作框架协议》</w:t>
            </w:r>
          </w:p>
        </w:tc>
        <w:tc>
          <w:tcPr>
            <w:tcW w:w="5102" w:type="dxa"/>
            <w:tcBorders>
              <w:top w:val="single" w:color="auto" w:sz="4" w:space="0"/>
              <w:left w:val="nil"/>
              <w:bottom w:val="nil"/>
              <w:right w:val="nil"/>
            </w:tcBorders>
            <w:vAlign w:val="center"/>
          </w:tcPr>
          <w:p w14:paraId="139D467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合作分工、结算方式、服务费范围及重大事项协商机制</w:t>
            </w:r>
          </w:p>
        </w:tc>
      </w:tr>
      <w:tr w14:paraId="54AB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64D8DC0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w:t>
            </w:r>
          </w:p>
        </w:tc>
        <w:tc>
          <w:tcPr>
            <w:tcW w:w="2835" w:type="dxa"/>
            <w:tcBorders>
              <w:top w:val="nil"/>
              <w:left w:val="nil"/>
              <w:bottom w:val="nil"/>
              <w:right w:val="nil"/>
            </w:tcBorders>
            <w:vAlign w:val="center"/>
          </w:tcPr>
          <w:p w14:paraId="242DEBF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项目银行流水（2024.12-2025.09）</w:t>
            </w:r>
          </w:p>
        </w:tc>
        <w:tc>
          <w:tcPr>
            <w:tcW w:w="5102" w:type="dxa"/>
            <w:tcBorders>
              <w:top w:val="nil"/>
              <w:left w:val="nil"/>
              <w:bottom w:val="nil"/>
              <w:right w:val="nil"/>
            </w:tcBorders>
            <w:vAlign w:val="center"/>
          </w:tcPr>
          <w:p w14:paraId="5AE1A30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采购预付款、平台回款、服务费及内部调拨情况</w:t>
            </w:r>
          </w:p>
        </w:tc>
      </w:tr>
      <w:tr w14:paraId="4E78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262C9A8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w:t>
            </w:r>
          </w:p>
        </w:tc>
        <w:tc>
          <w:tcPr>
            <w:tcW w:w="2835" w:type="dxa"/>
            <w:tcBorders>
              <w:top w:val="nil"/>
              <w:left w:val="nil"/>
              <w:bottom w:val="nil"/>
              <w:right w:val="nil"/>
            </w:tcBorders>
            <w:vAlign w:val="center"/>
          </w:tcPr>
          <w:p w14:paraId="4228A63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供应商往来明细表</w:t>
            </w:r>
          </w:p>
        </w:tc>
        <w:tc>
          <w:tcPr>
            <w:tcW w:w="5102" w:type="dxa"/>
            <w:tcBorders>
              <w:top w:val="nil"/>
              <w:left w:val="nil"/>
              <w:bottom w:val="nil"/>
              <w:right w:val="nil"/>
            </w:tcBorders>
            <w:vAlign w:val="center"/>
          </w:tcPr>
          <w:p w14:paraId="557DF26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沐禾供应链预付余额及后续冲抵记录</w:t>
            </w:r>
          </w:p>
        </w:tc>
      </w:tr>
      <w:tr w14:paraId="19A2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1C5CE9F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w:t>
            </w:r>
          </w:p>
        </w:tc>
        <w:tc>
          <w:tcPr>
            <w:tcW w:w="2835" w:type="dxa"/>
            <w:tcBorders>
              <w:top w:val="nil"/>
              <w:left w:val="nil"/>
              <w:bottom w:val="nil"/>
              <w:right w:val="nil"/>
            </w:tcBorders>
            <w:vAlign w:val="center"/>
          </w:tcPr>
          <w:p w14:paraId="412F803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平台结算月报</w:t>
            </w:r>
          </w:p>
        </w:tc>
        <w:tc>
          <w:tcPr>
            <w:tcW w:w="5102" w:type="dxa"/>
            <w:tcBorders>
              <w:top w:val="nil"/>
              <w:left w:val="nil"/>
              <w:bottom w:val="nil"/>
              <w:right w:val="nil"/>
            </w:tcBorders>
            <w:vAlign w:val="center"/>
          </w:tcPr>
          <w:p w14:paraId="00130E6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线上订单收入、退款、手续费及实际回款差异</w:t>
            </w:r>
          </w:p>
        </w:tc>
      </w:tr>
      <w:tr w14:paraId="5EA4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05403BE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5</w:t>
            </w:r>
          </w:p>
        </w:tc>
        <w:tc>
          <w:tcPr>
            <w:tcW w:w="2835" w:type="dxa"/>
            <w:tcBorders>
              <w:top w:val="nil"/>
              <w:left w:val="nil"/>
              <w:bottom w:val="nil"/>
              <w:right w:val="nil"/>
            </w:tcBorders>
            <w:vAlign w:val="center"/>
          </w:tcPr>
          <w:p w14:paraId="3808204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年度服务费合同及附件</w:t>
            </w:r>
          </w:p>
        </w:tc>
        <w:tc>
          <w:tcPr>
            <w:tcW w:w="5102" w:type="dxa"/>
            <w:tcBorders>
              <w:top w:val="nil"/>
              <w:left w:val="nil"/>
              <w:bottom w:val="nil"/>
              <w:right w:val="nil"/>
            </w:tcBorders>
            <w:vAlign w:val="center"/>
          </w:tcPr>
          <w:p w14:paraId="5431C58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服务费覆盖范围、计费方式及支付周期</w:t>
            </w:r>
          </w:p>
        </w:tc>
      </w:tr>
      <w:tr w14:paraId="13A3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7344773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w:t>
            </w:r>
          </w:p>
        </w:tc>
        <w:tc>
          <w:tcPr>
            <w:tcW w:w="2835" w:type="dxa"/>
            <w:tcBorders>
              <w:top w:val="nil"/>
              <w:left w:val="nil"/>
              <w:bottom w:val="nil"/>
              <w:right w:val="nil"/>
            </w:tcBorders>
            <w:vAlign w:val="center"/>
          </w:tcPr>
          <w:p w14:paraId="04C9EB5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配送协同费付款凭证</w:t>
            </w:r>
          </w:p>
        </w:tc>
        <w:tc>
          <w:tcPr>
            <w:tcW w:w="5102" w:type="dxa"/>
            <w:tcBorders>
              <w:top w:val="nil"/>
              <w:left w:val="nil"/>
              <w:bottom w:val="nil"/>
              <w:right w:val="nil"/>
            </w:tcBorders>
            <w:vAlign w:val="center"/>
          </w:tcPr>
          <w:p w14:paraId="4A8CFC0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是否存在与年度服务费重复覆盖的费用事项</w:t>
            </w:r>
          </w:p>
        </w:tc>
      </w:tr>
      <w:tr w14:paraId="0C9E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4091BA4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7</w:t>
            </w:r>
          </w:p>
        </w:tc>
        <w:tc>
          <w:tcPr>
            <w:tcW w:w="2835" w:type="dxa"/>
            <w:tcBorders>
              <w:top w:val="nil"/>
              <w:left w:val="nil"/>
              <w:bottom w:val="nil"/>
              <w:right w:val="nil"/>
            </w:tcBorders>
            <w:vAlign w:val="center"/>
          </w:tcPr>
          <w:p w14:paraId="6AB7506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系统维护费付款凭证</w:t>
            </w:r>
          </w:p>
        </w:tc>
        <w:tc>
          <w:tcPr>
            <w:tcW w:w="5102" w:type="dxa"/>
            <w:tcBorders>
              <w:top w:val="nil"/>
              <w:left w:val="nil"/>
              <w:bottom w:val="nil"/>
              <w:right w:val="nil"/>
            </w:tcBorders>
            <w:vAlign w:val="center"/>
          </w:tcPr>
          <w:p w14:paraId="5178CF0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系统支持费用的独立性和实际服务成果</w:t>
            </w:r>
          </w:p>
        </w:tc>
      </w:tr>
      <w:tr w14:paraId="4A46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2557D4B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8</w:t>
            </w:r>
          </w:p>
        </w:tc>
        <w:tc>
          <w:tcPr>
            <w:tcW w:w="2835" w:type="dxa"/>
            <w:tcBorders>
              <w:top w:val="nil"/>
              <w:left w:val="nil"/>
              <w:bottom w:val="nil"/>
              <w:right w:val="nil"/>
            </w:tcBorders>
            <w:vAlign w:val="center"/>
          </w:tcPr>
          <w:p w14:paraId="6E97D8B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促销活动费用明细</w:t>
            </w:r>
          </w:p>
        </w:tc>
        <w:tc>
          <w:tcPr>
            <w:tcW w:w="5102" w:type="dxa"/>
            <w:tcBorders>
              <w:top w:val="nil"/>
              <w:left w:val="nil"/>
              <w:bottom w:val="nil"/>
              <w:right w:val="nil"/>
            </w:tcBorders>
            <w:vAlign w:val="center"/>
          </w:tcPr>
          <w:p w14:paraId="73EFA0B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活动预算、执行结果和费用确认依据</w:t>
            </w:r>
          </w:p>
        </w:tc>
      </w:tr>
      <w:tr w14:paraId="024C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69A554A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w:t>
            </w:r>
          </w:p>
        </w:tc>
        <w:tc>
          <w:tcPr>
            <w:tcW w:w="2835" w:type="dxa"/>
            <w:tcBorders>
              <w:top w:val="nil"/>
              <w:left w:val="nil"/>
              <w:bottom w:val="nil"/>
              <w:right w:val="nil"/>
            </w:tcBorders>
            <w:vAlign w:val="center"/>
          </w:tcPr>
          <w:p w14:paraId="3569D09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库存盘点表（2025.06-2025.09）</w:t>
            </w:r>
          </w:p>
        </w:tc>
        <w:tc>
          <w:tcPr>
            <w:tcW w:w="5102" w:type="dxa"/>
            <w:tcBorders>
              <w:top w:val="nil"/>
              <w:left w:val="nil"/>
              <w:bottom w:val="nil"/>
              <w:right w:val="nil"/>
            </w:tcBorders>
            <w:vAlign w:val="center"/>
          </w:tcPr>
          <w:p w14:paraId="2A5093D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库存规模与合理现金需求测算基础</w:t>
            </w:r>
          </w:p>
        </w:tc>
      </w:tr>
      <w:tr w14:paraId="6483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0976ED8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10</w:t>
            </w:r>
          </w:p>
        </w:tc>
        <w:tc>
          <w:tcPr>
            <w:tcW w:w="2835" w:type="dxa"/>
            <w:tcBorders>
              <w:top w:val="nil"/>
              <w:left w:val="nil"/>
              <w:bottom w:val="nil"/>
              <w:right w:val="nil"/>
            </w:tcBorders>
            <w:vAlign w:val="center"/>
          </w:tcPr>
          <w:p w14:paraId="6CC65D1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月度采购计划与入库单</w:t>
            </w:r>
          </w:p>
        </w:tc>
        <w:tc>
          <w:tcPr>
            <w:tcW w:w="5102" w:type="dxa"/>
            <w:tcBorders>
              <w:top w:val="nil"/>
              <w:left w:val="nil"/>
              <w:bottom w:val="nil"/>
              <w:right w:val="nil"/>
            </w:tcBorders>
            <w:vAlign w:val="center"/>
          </w:tcPr>
          <w:p w14:paraId="4E4B60B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提前付款是否对应真实入库和合理采购</w:t>
            </w:r>
          </w:p>
        </w:tc>
      </w:tr>
      <w:tr w14:paraId="78FB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7E0C4AE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11</w:t>
            </w:r>
          </w:p>
        </w:tc>
        <w:tc>
          <w:tcPr>
            <w:tcW w:w="2835" w:type="dxa"/>
            <w:tcBorders>
              <w:top w:val="nil"/>
              <w:left w:val="nil"/>
              <w:bottom w:val="nil"/>
              <w:right w:val="nil"/>
            </w:tcBorders>
            <w:vAlign w:val="center"/>
          </w:tcPr>
          <w:p w14:paraId="0626EA1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平台后台订单导出记录</w:t>
            </w:r>
          </w:p>
        </w:tc>
        <w:tc>
          <w:tcPr>
            <w:tcW w:w="5102" w:type="dxa"/>
            <w:tcBorders>
              <w:top w:val="nil"/>
              <w:left w:val="nil"/>
              <w:bottom w:val="nil"/>
              <w:right w:val="nil"/>
            </w:tcBorders>
            <w:vAlign w:val="center"/>
          </w:tcPr>
          <w:p w14:paraId="1962CEF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销售款形成、核销和回款路径</w:t>
            </w:r>
          </w:p>
        </w:tc>
      </w:tr>
      <w:tr w14:paraId="7B6A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328721F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12</w:t>
            </w:r>
          </w:p>
        </w:tc>
        <w:tc>
          <w:tcPr>
            <w:tcW w:w="2835" w:type="dxa"/>
            <w:tcBorders>
              <w:top w:val="nil"/>
              <w:left w:val="nil"/>
              <w:bottom w:val="nil"/>
              <w:right w:val="nil"/>
            </w:tcBorders>
            <w:vAlign w:val="center"/>
          </w:tcPr>
          <w:p w14:paraId="4B2F5B3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项目内部沟通记录</w:t>
            </w:r>
          </w:p>
        </w:tc>
        <w:tc>
          <w:tcPr>
            <w:tcW w:w="5102" w:type="dxa"/>
            <w:tcBorders>
              <w:top w:val="nil"/>
              <w:left w:val="nil"/>
              <w:bottom w:val="nil"/>
              <w:right w:val="nil"/>
            </w:tcBorders>
            <w:vAlign w:val="center"/>
          </w:tcPr>
          <w:p w14:paraId="5094EB3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账户权限、资料提供及对账沟通情况</w:t>
            </w:r>
          </w:p>
        </w:tc>
      </w:tr>
      <w:tr w14:paraId="1C31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6CB1225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13</w:t>
            </w:r>
          </w:p>
        </w:tc>
        <w:tc>
          <w:tcPr>
            <w:tcW w:w="2835" w:type="dxa"/>
            <w:tcBorders>
              <w:top w:val="nil"/>
              <w:left w:val="nil"/>
              <w:bottom w:val="nil"/>
              <w:right w:val="nil"/>
            </w:tcBorders>
            <w:vAlign w:val="center"/>
          </w:tcPr>
          <w:p w14:paraId="1EF3584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银行U盾及网银权限说明</w:t>
            </w:r>
          </w:p>
        </w:tc>
        <w:tc>
          <w:tcPr>
            <w:tcW w:w="5102" w:type="dxa"/>
            <w:tcBorders>
              <w:top w:val="nil"/>
              <w:left w:val="nil"/>
              <w:bottom w:val="nil"/>
              <w:right w:val="nil"/>
            </w:tcBorders>
            <w:vAlign w:val="center"/>
          </w:tcPr>
          <w:p w14:paraId="538DC0F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资金支付权限是否形成共同监督</w:t>
            </w:r>
          </w:p>
        </w:tc>
      </w:tr>
      <w:tr w14:paraId="5D95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4CF1E74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14</w:t>
            </w:r>
          </w:p>
        </w:tc>
        <w:tc>
          <w:tcPr>
            <w:tcW w:w="2835" w:type="dxa"/>
            <w:tcBorders>
              <w:top w:val="nil"/>
              <w:left w:val="nil"/>
              <w:bottom w:val="nil"/>
              <w:right w:val="nil"/>
            </w:tcBorders>
            <w:vAlign w:val="center"/>
          </w:tcPr>
          <w:p w14:paraId="4BDC83E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内部调拨审批记录</w:t>
            </w:r>
          </w:p>
        </w:tc>
        <w:tc>
          <w:tcPr>
            <w:tcW w:w="5102" w:type="dxa"/>
            <w:tcBorders>
              <w:top w:val="nil"/>
              <w:left w:val="nil"/>
              <w:bottom w:val="nil"/>
              <w:right w:val="nil"/>
            </w:tcBorders>
            <w:vAlign w:val="center"/>
          </w:tcPr>
          <w:p w14:paraId="7BFC078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周转款用途、期限及归还安排</w:t>
            </w:r>
          </w:p>
        </w:tc>
      </w:tr>
      <w:tr w14:paraId="799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06AD3C1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15</w:t>
            </w:r>
          </w:p>
        </w:tc>
        <w:tc>
          <w:tcPr>
            <w:tcW w:w="2835" w:type="dxa"/>
            <w:tcBorders>
              <w:top w:val="nil"/>
              <w:left w:val="nil"/>
              <w:bottom w:val="nil"/>
              <w:right w:val="nil"/>
            </w:tcBorders>
            <w:vAlign w:val="center"/>
          </w:tcPr>
          <w:p w14:paraId="19ECCDD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门店费用台账</w:t>
            </w:r>
          </w:p>
        </w:tc>
        <w:tc>
          <w:tcPr>
            <w:tcW w:w="5102" w:type="dxa"/>
            <w:tcBorders>
              <w:top w:val="nil"/>
              <w:left w:val="nil"/>
              <w:bottom w:val="nil"/>
              <w:right w:val="nil"/>
            </w:tcBorders>
            <w:vAlign w:val="center"/>
          </w:tcPr>
          <w:p w14:paraId="0A8ADB0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费用项目拆分和重复计收情况</w:t>
            </w:r>
          </w:p>
        </w:tc>
      </w:tr>
      <w:tr w14:paraId="2433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4508153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16</w:t>
            </w:r>
          </w:p>
        </w:tc>
        <w:tc>
          <w:tcPr>
            <w:tcW w:w="2835" w:type="dxa"/>
            <w:tcBorders>
              <w:top w:val="nil"/>
              <w:left w:val="nil"/>
              <w:bottom w:val="nil"/>
              <w:right w:val="nil"/>
            </w:tcBorders>
            <w:vAlign w:val="center"/>
          </w:tcPr>
          <w:p w14:paraId="558CBCA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供应链对账确认函</w:t>
            </w:r>
          </w:p>
        </w:tc>
        <w:tc>
          <w:tcPr>
            <w:tcW w:w="5102" w:type="dxa"/>
            <w:tcBorders>
              <w:top w:val="nil"/>
              <w:left w:val="nil"/>
              <w:bottom w:val="nil"/>
              <w:right w:val="nil"/>
            </w:tcBorders>
            <w:vAlign w:val="center"/>
          </w:tcPr>
          <w:p w14:paraId="4445EF7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预付余额是否经双方确认</w:t>
            </w:r>
          </w:p>
        </w:tc>
      </w:tr>
      <w:tr w14:paraId="4701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775A41D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17</w:t>
            </w:r>
          </w:p>
        </w:tc>
        <w:tc>
          <w:tcPr>
            <w:tcW w:w="2835" w:type="dxa"/>
            <w:tcBorders>
              <w:top w:val="nil"/>
              <w:left w:val="nil"/>
              <w:bottom w:val="nil"/>
              <w:right w:val="nil"/>
            </w:tcBorders>
            <w:vAlign w:val="center"/>
          </w:tcPr>
          <w:p w14:paraId="2F1EFD7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项目经营月报</w:t>
            </w:r>
          </w:p>
        </w:tc>
        <w:tc>
          <w:tcPr>
            <w:tcW w:w="5102" w:type="dxa"/>
            <w:tcBorders>
              <w:top w:val="nil"/>
              <w:left w:val="nil"/>
              <w:bottom w:val="nil"/>
              <w:right w:val="nil"/>
            </w:tcBorders>
            <w:vAlign w:val="center"/>
          </w:tcPr>
          <w:p w14:paraId="6C12AD0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收入、成本、费用与现金流变化趋势</w:t>
            </w:r>
          </w:p>
        </w:tc>
      </w:tr>
      <w:tr w14:paraId="66B7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Borders>
              <w:top w:val="nil"/>
              <w:left w:val="nil"/>
              <w:bottom w:val="single" w:color="000000" w:sz="12" w:space="0"/>
              <w:right w:val="nil"/>
            </w:tcBorders>
            <w:vAlign w:val="center"/>
          </w:tcPr>
          <w:p w14:paraId="6914DDC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18</w:t>
            </w:r>
          </w:p>
        </w:tc>
        <w:tc>
          <w:tcPr>
            <w:tcW w:w="2835" w:type="dxa"/>
            <w:tcBorders>
              <w:top w:val="nil"/>
              <w:left w:val="nil"/>
              <w:bottom w:val="single" w:color="000000" w:sz="12" w:space="0"/>
              <w:right w:val="nil"/>
            </w:tcBorders>
            <w:vAlign w:val="center"/>
          </w:tcPr>
          <w:p w14:paraId="0B094A5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阶段性问题汇总函</w:t>
            </w:r>
          </w:p>
        </w:tc>
        <w:tc>
          <w:tcPr>
            <w:tcW w:w="5102" w:type="dxa"/>
            <w:tcBorders>
              <w:top w:val="nil"/>
              <w:left w:val="nil"/>
              <w:bottom w:val="single" w:color="000000" w:sz="12" w:space="0"/>
              <w:right w:val="nil"/>
            </w:tcBorders>
            <w:vAlign w:val="center"/>
          </w:tcPr>
          <w:p w14:paraId="2EF6F04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本地合作方提出核查诉求及对方反馈情况</w:t>
            </w:r>
          </w:p>
        </w:tc>
      </w:tr>
    </w:tbl>
    <w:p w14:paraId="14E02B3C">
      <w:pPr>
        <w:spacing w:after="40"/>
      </w:pPr>
    </w:p>
    <w:p w14:paraId="76AD69C4">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eastAsia="zh-CN"/>
        </w:rPr>
      </w:pPr>
      <w:r>
        <w:rPr>
          <w:rFonts w:hint="default" w:ascii="黑体" w:hAnsi="黑体" w:eastAsia="黑体" w:cstheme="minorBidi"/>
          <w:bCs w:val="0"/>
          <w:kern w:val="44"/>
          <w:sz w:val="30"/>
          <w:szCs w:val="24"/>
          <w:lang w:eastAsia="zh-CN"/>
        </w:rPr>
        <w:t>第</w:t>
      </w:r>
      <w:r>
        <w:rPr>
          <w:rFonts w:hint="eastAsia" w:ascii="黑体" w:hAnsi="黑体" w:eastAsia="黑体" w:cstheme="minorBidi"/>
          <w:bCs w:val="0"/>
          <w:kern w:val="44"/>
          <w:sz w:val="30"/>
          <w:szCs w:val="24"/>
          <w:lang w:val="en-US" w:eastAsia="zh-CN"/>
        </w:rPr>
        <w:t>五</w:t>
      </w:r>
      <w:r>
        <w:rPr>
          <w:rFonts w:hint="default" w:ascii="黑体" w:hAnsi="黑体" w:eastAsia="黑体" w:cstheme="minorBidi"/>
          <w:bCs w:val="0"/>
          <w:kern w:val="44"/>
          <w:sz w:val="30"/>
          <w:szCs w:val="24"/>
          <w:lang w:eastAsia="zh-CN"/>
        </w:rPr>
        <w:t>部分：需要协助评估的问题</w:t>
      </w:r>
    </w:p>
    <w:p w14:paraId="356931E3">
      <w:pPr>
        <w:spacing w:before="0" w:after="2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1.</w:t>
      </w:r>
      <w:r>
        <w:rPr>
          <w:rFonts w:hint="default" w:ascii="Times New Roman" w:hAnsi="Times New Roman" w:eastAsia="宋体" w:cs="黑体"/>
          <w:bCs/>
          <w:color w:val="0F1115"/>
          <w:kern w:val="44"/>
          <w:sz w:val="24"/>
          <w:szCs w:val="30"/>
          <w:shd w:val="clear" w:fill="FFFFFF"/>
          <w:lang w:val="en-US" w:eastAsia="zh-CN" w:bidi="ar-SA"/>
        </w:rPr>
        <w:t xml:space="preserve"> 现有资料是否足以启动专项审计或第三方财务核查？若不足，应优先补充哪些原始凭证？</w:t>
      </w:r>
    </w:p>
    <w:p w14:paraId="524C33C2">
      <w:pPr>
        <w:spacing w:before="0" w:after="2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 xml:space="preserve">2. </w:t>
      </w:r>
      <w:r>
        <w:rPr>
          <w:rFonts w:hint="default" w:ascii="Times New Roman" w:hAnsi="Times New Roman" w:eastAsia="宋体" w:cs="黑体"/>
          <w:bCs/>
          <w:color w:val="0F1115"/>
          <w:kern w:val="44"/>
          <w:sz w:val="24"/>
          <w:szCs w:val="30"/>
          <w:shd w:val="clear" w:fill="FFFFFF"/>
          <w:lang w:val="en-US" w:eastAsia="zh-CN" w:bidi="ar-SA"/>
        </w:rPr>
        <w:t>预付采购款余额、平台销售款延迟回流、内部调拨未闭环三类事项应如何分别定性？</w:t>
      </w:r>
    </w:p>
    <w:p w14:paraId="01B6E11B">
      <w:pPr>
        <w:spacing w:before="0" w:after="2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 xml:space="preserve">3. </w:t>
      </w:r>
      <w:r>
        <w:rPr>
          <w:rFonts w:hint="default" w:ascii="Times New Roman" w:hAnsi="Times New Roman" w:eastAsia="宋体" w:cs="黑体"/>
          <w:bCs/>
          <w:color w:val="0F1115"/>
          <w:kern w:val="44"/>
          <w:sz w:val="24"/>
          <w:szCs w:val="30"/>
          <w:shd w:val="clear" w:fill="FFFFFF"/>
          <w:lang w:val="en-US" w:eastAsia="zh-CN" w:bidi="ar-SA"/>
        </w:rPr>
        <w:t>年度服务费与拆分费用之间是否存在重复计收风险，判断标准应以合同文字还是实际服务成果为主？</w:t>
      </w:r>
    </w:p>
    <w:p w14:paraId="08FADAAD">
      <w:pPr>
        <w:spacing w:before="0" w:after="2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 xml:space="preserve">4. </w:t>
      </w:r>
      <w:r>
        <w:rPr>
          <w:rFonts w:hint="default" w:ascii="Times New Roman" w:hAnsi="Times New Roman" w:eastAsia="宋体" w:cs="黑体"/>
          <w:bCs/>
          <w:color w:val="0F1115"/>
          <w:kern w:val="44"/>
          <w:sz w:val="24"/>
          <w:szCs w:val="30"/>
          <w:shd w:val="clear" w:fill="FFFFFF"/>
          <w:lang w:val="en-US" w:eastAsia="zh-CN" w:bidi="ar-SA"/>
        </w:rPr>
        <w:t>若相关主体拒绝提供平台后台、供应链对账及银行权限资料，本地合作方可采取哪些合法取证路径？</w:t>
      </w:r>
    </w:p>
    <w:p w14:paraId="38D76459">
      <w:pPr>
        <w:spacing w:before="0" w:after="2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
          <w:bCs w:val="0"/>
          <w:color w:val="0F1115"/>
          <w:kern w:val="44"/>
          <w:sz w:val="24"/>
          <w:szCs w:val="30"/>
          <w:shd w:val="clear" w:fill="FFFFFF"/>
          <w:lang w:val="en-US" w:eastAsia="zh-CN" w:bidi="ar-SA"/>
        </w:rPr>
        <w:t xml:space="preserve">5. </w:t>
      </w:r>
      <w:r>
        <w:rPr>
          <w:rFonts w:hint="default" w:ascii="Times New Roman" w:hAnsi="Times New Roman" w:eastAsia="宋体" w:cs="黑体"/>
          <w:bCs/>
          <w:color w:val="0F1115"/>
          <w:kern w:val="44"/>
          <w:sz w:val="24"/>
          <w:szCs w:val="30"/>
          <w:shd w:val="clear" w:fill="FFFFFF"/>
          <w:lang w:val="en-US" w:eastAsia="zh-CN" w:bidi="ar-SA"/>
        </w:rPr>
        <w:t>后续是先通过股东会/项目协调会推动整改，还是直接通过审计、律师函或诉讼程序固定证据？</w:t>
      </w:r>
    </w:p>
    <w:p w14:paraId="5FC119B1">
      <w:pPr>
        <w:spacing w:before="0" w:after="40" w:line="300" w:lineRule="auto"/>
        <w:rPr>
          <w:rFonts w:hint="eastAsia" w:ascii="Times New Roman" w:hAnsi="Times New Roman" w:eastAsia="宋体" w:cs="黑体"/>
          <w:b/>
          <w:bCs w:val="0"/>
          <w:color w:val="0F1115"/>
          <w:kern w:val="44"/>
          <w:sz w:val="24"/>
          <w:szCs w:val="30"/>
          <w:shd w:val="clear" w:fill="FFFFFF"/>
          <w:lang w:val="en-US" w:eastAsia="zh-CN" w:bidi="ar-SA"/>
        </w:rPr>
      </w:pPr>
      <w:r>
        <w:rPr>
          <w:rFonts w:hint="eastAsia" w:ascii="Times New Roman" w:hAnsi="Times New Roman" w:eastAsia="宋体" w:cs="黑体"/>
          <w:b/>
          <w:bCs w:val="0"/>
          <w:color w:val="0F1115"/>
          <w:kern w:val="44"/>
          <w:sz w:val="24"/>
          <w:szCs w:val="30"/>
          <w:shd w:val="clear" w:fill="FFFFFF"/>
          <w:lang w:val="en-US" w:eastAsia="zh-CN" w:bidi="ar-SA"/>
        </w:rPr>
        <w:t>呈报人：</w:t>
      </w:r>
      <w:r>
        <w:rPr>
          <w:rFonts w:hint="eastAsia" w:ascii="Times New Roman" w:hAnsi="Times New Roman" w:cs="黑体"/>
          <w:b/>
          <w:bCs w:val="0"/>
          <w:color w:val="0F1115"/>
          <w:kern w:val="44"/>
          <w:sz w:val="24"/>
          <w:szCs w:val="30"/>
          <w:shd w:val="clear" w:fill="FFFFFF"/>
          <w:lang w:val="en-US" w:eastAsia="zh-CN" w:bidi="ar-SA"/>
        </w:rPr>
        <w:t>顾启朝</w:t>
      </w:r>
    </w:p>
    <w:p w14:paraId="119A34E7">
      <w:pPr>
        <w:spacing w:before="0" w:after="40" w:line="300" w:lineRule="auto"/>
      </w:pPr>
      <w:r>
        <w:rPr>
          <w:rFonts w:ascii="Times New Roman" w:hAnsi="Times New Roman" w:eastAsia="宋体"/>
          <w:b w:val="0"/>
          <w:sz w:val="24"/>
        </w:rPr>
        <w:t>以上为本项目阶段性核查材料。附件资料已按编号整理，待审阅后可进一步补充原始凭证和专项说明。</w:t>
      </w:r>
    </w:p>
    <w:p w14:paraId="015F2A9A">
      <w:pPr>
        <w:pStyle w:val="165"/>
        <w:shd w:val="clear" w:fill="FFFFFF"/>
        <w:bidi w:val="0"/>
        <w:jc w:val="both"/>
        <w:rPr>
          <w:rFonts w:hint="default"/>
          <w:b/>
          <w:bCs w:val="0"/>
          <w:lang w:eastAsia="zh-CN"/>
        </w:rPr>
      </w:pPr>
      <w:r>
        <w:rPr>
          <w:rFonts w:hint="default"/>
          <w:b/>
          <w:bCs w:val="0"/>
          <w:lang w:eastAsia="zh-CN"/>
        </w:rPr>
        <w:t>2026年5月21日</w:t>
      </w:r>
    </w:p>
    <w:p w14:paraId="715E4715">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eastAsia="zh-CN"/>
        </w:rPr>
      </w:pPr>
      <w:r>
        <w:rPr>
          <w:rFonts w:hint="default" w:ascii="黑体" w:hAnsi="黑体" w:eastAsia="黑体" w:cstheme="minorBidi"/>
          <w:bCs w:val="0"/>
          <w:kern w:val="44"/>
          <w:sz w:val="30"/>
          <w:szCs w:val="24"/>
          <w:lang w:eastAsia="zh-CN"/>
        </w:rPr>
        <w:t>第</w:t>
      </w:r>
      <w:r>
        <w:rPr>
          <w:rFonts w:hint="eastAsia" w:ascii="黑体" w:hAnsi="黑体" w:eastAsia="黑体" w:cstheme="minorBidi"/>
          <w:bCs w:val="0"/>
          <w:kern w:val="44"/>
          <w:sz w:val="30"/>
          <w:szCs w:val="24"/>
          <w:lang w:val="en-US" w:eastAsia="zh-CN"/>
        </w:rPr>
        <w:t>六</w:t>
      </w:r>
      <w:r>
        <w:rPr>
          <w:rFonts w:hint="default" w:ascii="黑体" w:hAnsi="黑体" w:eastAsia="黑体" w:cstheme="minorBidi"/>
          <w:bCs w:val="0"/>
          <w:kern w:val="44"/>
          <w:sz w:val="30"/>
          <w:szCs w:val="24"/>
          <w:lang w:eastAsia="zh-CN"/>
        </w:rPr>
        <w:t>部分：可能说明及反驳要点</w:t>
      </w:r>
    </w:p>
    <w:p w14:paraId="6B2F8DC2">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针对上述异常，相关主体可能会提出“正常经营需要”“平台结算周期较长”“费用另有口头约定”等说明。为便于后续沟通，现将常见说法及核查回应整理如下：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9"/>
        <w:gridCol w:w="5432"/>
      </w:tblGrid>
      <w:tr w14:paraId="4AFB9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3299" w:type="dxa"/>
            <w:tcBorders>
              <w:top w:val="single" w:color="000000" w:sz="12" w:space="0"/>
              <w:left w:val="nil"/>
              <w:bottom w:val="single" w:color="auto" w:sz="4" w:space="0"/>
              <w:right w:val="nil"/>
            </w:tcBorders>
            <w:shd w:val="clear" w:color="auto" w:fill="D9E2F3"/>
            <w:vAlign w:val="center"/>
          </w:tcPr>
          <w:p w14:paraId="461827F5">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可能说明</w:t>
            </w:r>
          </w:p>
        </w:tc>
        <w:tc>
          <w:tcPr>
            <w:tcW w:w="5432" w:type="dxa"/>
            <w:tcBorders>
              <w:top w:val="single" w:color="000000" w:sz="12" w:space="0"/>
              <w:left w:val="nil"/>
              <w:bottom w:val="single" w:color="auto" w:sz="4" w:space="0"/>
              <w:right w:val="nil"/>
            </w:tcBorders>
            <w:shd w:val="clear" w:color="auto" w:fill="D9E2F3"/>
            <w:vAlign w:val="center"/>
          </w:tcPr>
          <w:p w14:paraId="629C262A">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核查回应</w:t>
            </w:r>
          </w:p>
        </w:tc>
      </w:tr>
      <w:tr w14:paraId="4A43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9" w:type="dxa"/>
            <w:tcBorders>
              <w:top w:val="single" w:color="auto" w:sz="4" w:space="0"/>
              <w:left w:val="nil"/>
              <w:bottom w:val="nil"/>
              <w:right w:val="nil"/>
            </w:tcBorders>
            <w:vAlign w:val="center"/>
          </w:tcPr>
          <w:p w14:paraId="45595A8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“开业前备货必须提前付款”</w:t>
            </w:r>
          </w:p>
        </w:tc>
        <w:tc>
          <w:tcPr>
            <w:tcW w:w="5432" w:type="dxa"/>
            <w:tcBorders>
              <w:top w:val="single" w:color="auto" w:sz="4" w:space="0"/>
              <w:left w:val="nil"/>
              <w:bottom w:val="nil"/>
              <w:right w:val="nil"/>
            </w:tcBorders>
            <w:vAlign w:val="center"/>
          </w:tcPr>
          <w:p w14:paraId="11DC854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提前付款并非当然异常，但应有采购计划、入库验收和余额冲抵记录。若长期保持高额余额，应说明经营必要性。</w:t>
            </w:r>
          </w:p>
        </w:tc>
      </w:tr>
      <w:tr w14:paraId="6D7F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9" w:type="dxa"/>
            <w:tcBorders>
              <w:top w:val="nil"/>
              <w:left w:val="nil"/>
              <w:bottom w:val="nil"/>
              <w:right w:val="nil"/>
            </w:tcBorders>
            <w:vAlign w:val="center"/>
          </w:tcPr>
          <w:p w14:paraId="40C9C3F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“平台款只是代收，不存在占用”</w:t>
            </w:r>
          </w:p>
        </w:tc>
        <w:tc>
          <w:tcPr>
            <w:tcW w:w="5432" w:type="dxa"/>
            <w:tcBorders>
              <w:top w:val="nil"/>
              <w:left w:val="nil"/>
              <w:bottom w:val="nil"/>
              <w:right w:val="nil"/>
            </w:tcBorders>
            <w:vAlign w:val="center"/>
          </w:tcPr>
          <w:p w14:paraId="559ED39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代收应有固定回款周期和逐月确认记录。若跨月未回流并形成应收余额，就需核查是否构成资金占用。</w:t>
            </w:r>
          </w:p>
        </w:tc>
      </w:tr>
      <w:tr w14:paraId="69F8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9" w:type="dxa"/>
            <w:tcBorders>
              <w:top w:val="nil"/>
              <w:left w:val="nil"/>
              <w:bottom w:val="nil"/>
              <w:right w:val="nil"/>
            </w:tcBorders>
            <w:vAlign w:val="center"/>
          </w:tcPr>
          <w:p w14:paraId="6F665EA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“配送费、系统费属于独立服务”</w:t>
            </w:r>
          </w:p>
        </w:tc>
        <w:tc>
          <w:tcPr>
            <w:tcW w:w="5432" w:type="dxa"/>
            <w:tcBorders>
              <w:top w:val="nil"/>
              <w:left w:val="nil"/>
              <w:bottom w:val="nil"/>
              <w:right w:val="nil"/>
            </w:tcBorders>
            <w:vAlign w:val="center"/>
          </w:tcPr>
          <w:p w14:paraId="034F816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应比对年度服务费覆盖范围，并要求提供独立合同、服务成果、验收记录和定价依据。</w:t>
            </w:r>
          </w:p>
        </w:tc>
      </w:tr>
      <w:tr w14:paraId="12F3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9" w:type="dxa"/>
            <w:tcBorders>
              <w:top w:val="nil"/>
              <w:left w:val="nil"/>
              <w:bottom w:val="nil"/>
              <w:right w:val="nil"/>
            </w:tcBorders>
            <w:vAlign w:val="center"/>
          </w:tcPr>
          <w:p w14:paraId="46C7686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“内部调拨是项目周转需要”</w:t>
            </w:r>
          </w:p>
        </w:tc>
        <w:tc>
          <w:tcPr>
            <w:tcW w:w="5432" w:type="dxa"/>
            <w:tcBorders>
              <w:top w:val="nil"/>
              <w:left w:val="nil"/>
              <w:bottom w:val="nil"/>
              <w:right w:val="nil"/>
            </w:tcBorders>
            <w:vAlign w:val="center"/>
          </w:tcPr>
          <w:p w14:paraId="6872743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周转款应有审批、期限、用途和归还安排；若长期挂账，应纳入重点核查。</w:t>
            </w:r>
          </w:p>
        </w:tc>
      </w:tr>
      <w:tr w14:paraId="6152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9" w:type="dxa"/>
            <w:tcBorders>
              <w:top w:val="nil"/>
              <w:left w:val="nil"/>
              <w:bottom w:val="nil"/>
              <w:right w:val="nil"/>
            </w:tcBorders>
            <w:vAlign w:val="center"/>
          </w:tcPr>
          <w:p w14:paraId="0456AA2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“本地合作方事后已知情”</w:t>
            </w:r>
          </w:p>
        </w:tc>
        <w:tc>
          <w:tcPr>
            <w:tcW w:w="5432" w:type="dxa"/>
            <w:tcBorders>
              <w:top w:val="nil"/>
              <w:left w:val="nil"/>
              <w:bottom w:val="nil"/>
              <w:right w:val="nil"/>
            </w:tcBorders>
            <w:vAlign w:val="center"/>
          </w:tcPr>
          <w:p w14:paraId="2E0F29A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知情不等于同意，尤其是重大付款、账户调拨和费用拆分事项，仍应以书面审批或会议纪要为准。</w:t>
            </w:r>
          </w:p>
        </w:tc>
      </w:tr>
      <w:tr w14:paraId="3FB3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9" w:type="dxa"/>
            <w:tcBorders>
              <w:top w:val="nil"/>
              <w:left w:val="nil"/>
              <w:bottom w:val="single" w:color="000000" w:sz="12" w:space="0"/>
              <w:right w:val="nil"/>
            </w:tcBorders>
            <w:vAlign w:val="center"/>
          </w:tcPr>
          <w:p w14:paraId="389850F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“这只是普通经营亏损”</w:t>
            </w:r>
          </w:p>
        </w:tc>
        <w:tc>
          <w:tcPr>
            <w:tcW w:w="5432" w:type="dxa"/>
            <w:tcBorders>
              <w:top w:val="nil"/>
              <w:left w:val="nil"/>
              <w:bottom w:val="single" w:color="000000" w:sz="12" w:space="0"/>
              <w:right w:val="nil"/>
            </w:tcBorders>
            <w:vAlign w:val="center"/>
          </w:tcPr>
          <w:p w14:paraId="20DE065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经营亏损与资金流向异常是两类问题。即使门店亏损，也不能当然解释不闭环的往来款和重复收费。</w:t>
            </w:r>
          </w:p>
        </w:tc>
      </w:tr>
    </w:tbl>
    <w:p w14:paraId="472F7CCE">
      <w:pPr>
        <w:spacing w:after="40"/>
      </w:pPr>
    </w:p>
    <w:p w14:paraId="1B0C3BE6">
      <w:r>
        <w:br w:type="page"/>
      </w:r>
    </w:p>
    <w:p w14:paraId="5BD7A372">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sz w:val="24"/>
          <w:szCs w:val="24"/>
          <w:shd w:val="clear" w:fill="FFFFFF"/>
        </w:rPr>
      </w:pPr>
    </w:p>
    <w:p w14:paraId="609B607F">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uto"/>
        <w:ind w:left="0" w:right="0" w:firstLine="0"/>
        <w:jc w:val="center"/>
        <w:textAlignment w:val="auto"/>
        <w:outlineLvl w:val="9"/>
        <w:rPr>
          <w:rFonts w:hint="eastAsia" w:ascii="黑体" w:hAnsi="黑体" w:eastAsia="黑体" w:cs="黑体"/>
          <w:b/>
          <w:bCs/>
          <w:i w:val="0"/>
          <w:iCs w:val="0"/>
          <w:caps w:val="0"/>
          <w:color w:val="0F1115"/>
          <w:spacing w:val="0"/>
          <w:sz w:val="24"/>
          <w:szCs w:val="24"/>
          <w:shd w:val="clear" w:fill="FFFFFF"/>
        </w:rPr>
      </w:pPr>
    </w:p>
    <w:p w14:paraId="12716B73">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pPr>
      <w:r>
        <w:rPr>
          <w:rFonts w:ascii="Times New Roman" w:hAnsi="Times New Roman" w:eastAsia="黑体"/>
          <w:b/>
          <w:sz w:val="44"/>
        </w:rPr>
        <w:t xml:space="preserve">企  业  经  营  异  常  核  查  </w:t>
      </w:r>
      <w:r>
        <w:rPr>
          <w:rFonts w:hint="eastAsia" w:ascii="黑体" w:hAnsi="黑体" w:eastAsia="黑体" w:cs="黑体"/>
          <w:b/>
          <w:bCs/>
          <w:i w:val="0"/>
          <w:iCs w:val="0"/>
          <w:caps w:val="0"/>
          <w:color w:val="0F1115"/>
          <w:spacing w:val="0"/>
          <w:kern w:val="2"/>
          <w:sz w:val="44"/>
          <w:szCs w:val="44"/>
          <w:shd w:val="clear" w:fill="FFFFFF"/>
          <w:lang w:eastAsia="zh-CN"/>
        </w:rPr>
        <w:t>材  料</w:t>
      </w:r>
    </w:p>
    <w:p w14:paraId="6EBC69D7">
      <w:pPr>
        <w:spacing w:before="0" w:after="40" w:line="300" w:lineRule="auto"/>
        <w:jc w:val="center"/>
        <w:rPr>
          <w:rFonts w:ascii="Times New Roman" w:hAnsi="Times New Roman" w:eastAsia="黑体"/>
          <w:b/>
          <w:sz w:val="24"/>
          <w:szCs w:val="24"/>
        </w:rPr>
      </w:pPr>
    </w:p>
    <w:p w14:paraId="6D96AF4C">
      <w:pPr>
        <w:spacing w:before="0" w:after="40" w:line="300" w:lineRule="auto"/>
        <w:jc w:val="center"/>
        <w:rPr>
          <w:rFonts w:ascii="Times New Roman" w:hAnsi="Times New Roman" w:eastAsia="黑体"/>
          <w:b/>
          <w:sz w:val="24"/>
          <w:szCs w:val="24"/>
        </w:rPr>
      </w:pPr>
    </w:p>
    <w:p w14:paraId="1A71C9A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（青月生活广场零售合作项目</w:t>
      </w:r>
    </w:p>
    <w:p w14:paraId="72DD86AF">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firstLineChars="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明细账、对账资料及整改清单）</w:t>
      </w:r>
    </w:p>
    <w:p w14:paraId="37539FB5">
      <w:pPr>
        <w:spacing w:before="0" w:after="40" w:line="300" w:lineRule="auto"/>
        <w:jc w:val="center"/>
      </w:pPr>
      <w:r>
        <w:rPr>
          <w:rFonts w:ascii="Times New Roman" w:hAnsi="Times New Roman" w:eastAsia="宋体"/>
          <w:b w:val="0"/>
          <w:sz w:val="20"/>
        </w:rPr>
        <w:t>━━━━━━━━━━━━━━━━━━━━━━━━━━━━━━━━━━</w:t>
      </w:r>
    </w:p>
    <w:p w14:paraId="7844834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outlineLvl w:val="9"/>
        <w:rPr>
          <w:rFonts w:hint="eastAsia" w:ascii="宋体" w:hAnsi="宋体" w:eastAsia="宋体" w:cs="宋体"/>
          <w:i w:val="0"/>
          <w:iCs w:val="0"/>
          <w:caps w:val="0"/>
          <w:color w:val="1F2329"/>
          <w:spacing w:val="4"/>
          <w:kern w:val="2"/>
          <w:sz w:val="30"/>
          <w:szCs w:val="30"/>
          <w:shd w:val="clear" w:fill="FFFFFF"/>
          <w:lang w:eastAsia="zh-CN"/>
        </w:rPr>
      </w:pPr>
      <w:r>
        <w:rPr>
          <w:rFonts w:hint="eastAsia" w:ascii="宋体" w:hAnsi="宋体" w:eastAsia="宋体" w:cs="宋体"/>
          <w:i w:val="0"/>
          <w:iCs w:val="0"/>
          <w:caps w:val="0"/>
          <w:color w:val="1F2329"/>
          <w:spacing w:val="4"/>
          <w:kern w:val="2"/>
          <w:sz w:val="30"/>
          <w:szCs w:val="30"/>
          <w:shd w:val="clear" w:fill="FFFFFF"/>
          <w:lang w:eastAsia="zh-CN"/>
        </w:rPr>
        <w:t>呈报人：顾启朝</w:t>
      </w:r>
    </w:p>
    <w:p w14:paraId="052428BA">
      <w:pPr>
        <w:spacing w:before="0" w:after="40" w:line="300" w:lineRule="auto"/>
        <w:jc w:val="center"/>
      </w:pPr>
      <w:r>
        <w:rPr>
          <w:rFonts w:ascii="Times New Roman" w:hAnsi="Times New Roman" w:eastAsia="宋体"/>
          <w:b w:val="0"/>
          <w:sz w:val="20"/>
        </w:rPr>
        <w:t>━━━━━━━━━━━━━━━━━━━━━━━━━━━━━━━━━━</w:t>
      </w:r>
    </w:p>
    <w:p w14:paraId="5AC716CD">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【本册内容】</w:t>
      </w:r>
    </w:p>
    <w:p w14:paraId="11BB5D61">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付款台账、平台结算月报、供应链对账记录</w:t>
      </w:r>
    </w:p>
    <w:p w14:paraId="6F47F775">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库存规模与现金需求测算表</w:t>
      </w:r>
    </w:p>
    <w:p w14:paraId="31B8D277">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服务费用拆分核查表</w:t>
      </w:r>
    </w:p>
    <w:p w14:paraId="7B0B946A">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内部调拨闭环整改清单</w:t>
      </w:r>
    </w:p>
    <w:p w14:paraId="3BC0A504">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后续资料补充路径及沟通提纲</w:t>
      </w:r>
    </w:p>
    <w:p w14:paraId="165BCAE6">
      <w:pPr>
        <w:spacing w:before="0" w:after="40" w:line="300" w:lineRule="auto"/>
        <w:jc w:val="center"/>
      </w:pPr>
      <w:r>
        <w:rPr>
          <w:rFonts w:ascii="Times New Roman" w:hAnsi="Times New Roman" w:eastAsia="宋体"/>
          <w:b w:val="0"/>
          <w:sz w:val="20"/>
        </w:rPr>
        <w:t>━━━━━━━━━━━━━━━━━━━━━━━━━━━━━━━━━━</w:t>
      </w:r>
    </w:p>
    <w:p w14:paraId="6C35EC2A">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辰传合规与财务顾问团队</w:t>
      </w:r>
    </w:p>
    <w:p w14:paraId="07E3F7D4">
      <w:pPr>
        <w:widowControl w:val="0"/>
        <w:spacing w:after="0" w:line="240" w:lineRule="auto"/>
        <w:jc w:val="center"/>
        <w:rPr>
          <w:rFonts w:hint="eastAsia" w:ascii="宋体" w:hAnsi="宋体" w:eastAsia="宋体" w:cs="宋体"/>
          <w:kern w:val="2"/>
          <w:sz w:val="30"/>
          <w:szCs w:val="30"/>
          <w:lang w:eastAsia="zh-CN"/>
        </w:rPr>
      </w:pPr>
      <w:r>
        <w:rPr>
          <w:rFonts w:hint="eastAsia" w:ascii="宋体" w:hAnsi="宋体" w:eastAsia="宋体" w:cs="宋体"/>
          <w:kern w:val="2"/>
          <w:sz w:val="30"/>
          <w:szCs w:val="30"/>
          <w:lang w:eastAsia="zh-CN"/>
        </w:rPr>
        <w:t>第二册（共二册）·明细清单及辅助材料</w:t>
      </w:r>
    </w:p>
    <w:p w14:paraId="304FDF8D">
      <w:r>
        <w:br w:type="page"/>
      </w:r>
    </w:p>
    <w:p w14:paraId="3CE9BEB6">
      <w:pPr>
        <w:pStyle w:val="3"/>
        <w:keepNext w:val="0"/>
        <w:keepLines w:val="0"/>
        <w:widowControl w:val="0"/>
        <w:bidi w:val="0"/>
        <w:spacing w:before="0" w:beforeLines="0" w:beforeAutospacing="0" w:after="0" w:afterLines="0" w:afterAutospacing="0" w:line="360" w:lineRule="auto"/>
        <w:jc w:val="both"/>
        <w:rPr>
          <w:rFonts w:hint="default" w:ascii="黑体" w:hAnsi="黑体" w:eastAsia="黑体" w:cstheme="minorBidi"/>
          <w:bCs w:val="0"/>
          <w:kern w:val="44"/>
          <w:sz w:val="30"/>
          <w:szCs w:val="24"/>
          <w:lang w:eastAsia="zh-CN"/>
        </w:rPr>
      </w:pPr>
      <w:r>
        <w:rPr>
          <w:rFonts w:hint="default" w:ascii="黑体" w:hAnsi="黑体" w:eastAsia="黑体" w:cstheme="minorBidi"/>
          <w:bCs w:val="0"/>
          <w:kern w:val="44"/>
          <w:sz w:val="30"/>
          <w:szCs w:val="24"/>
          <w:lang w:eastAsia="zh-CN"/>
        </w:rPr>
        <w:t>第七部分：明细账核查摘要</w:t>
      </w:r>
    </w:p>
    <w:p w14:paraId="0E90E741">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一、采购预付款发生及冲抵记录</w:t>
      </w:r>
    </w:p>
    <w:p w14:paraId="61467FC7">
      <w:pPr>
        <w:spacing w:before="0" w:after="80" w:line="300" w:lineRule="auto"/>
        <w:ind w:firstLine="480"/>
      </w:pPr>
      <w:r>
        <w:rPr>
          <w:rFonts w:hint="default" w:ascii="Times New Roman" w:hAnsi="Times New Roman" w:eastAsia="宋体" w:cs="黑体"/>
          <w:bCs/>
          <w:color w:val="0F1115"/>
          <w:kern w:val="44"/>
          <w:sz w:val="24"/>
          <w:szCs w:val="30"/>
          <w:shd w:val="clear" w:fill="FFFFFF"/>
          <w:lang w:val="en-US" w:eastAsia="zh-CN" w:bidi="ar-SA"/>
        </w:rPr>
        <w:t>以下明细按照付款发生时间排序，重点展示开业前后集中付款及后续抵扣情况。表内金额为核查口径，后续应以银行回单、入库单及供应商确认函为准。</w:t>
      </w:r>
    </w:p>
    <w:tbl>
      <w:tblPr>
        <w:tblStyle w:val="34"/>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2268"/>
        <w:gridCol w:w="1701"/>
        <w:gridCol w:w="1701"/>
        <w:gridCol w:w="1701"/>
      </w:tblGrid>
      <w:tr w14:paraId="61A5D44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bottom w:val="single" w:color="auto" w:sz="4" w:space="0"/>
              <w:tl2br w:val="nil"/>
              <w:tr2bl w:val="nil"/>
            </w:tcBorders>
            <w:shd w:val="clear" w:color="auto" w:fill="D9E2F3"/>
            <w:vAlign w:val="center"/>
          </w:tcPr>
          <w:p w14:paraId="1B0C65EE">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时间</w:t>
            </w:r>
          </w:p>
        </w:tc>
        <w:tc>
          <w:tcPr>
            <w:tcW w:w="2268" w:type="dxa"/>
            <w:tcBorders>
              <w:bottom w:val="single" w:color="auto" w:sz="4" w:space="0"/>
              <w:tl2br w:val="nil"/>
              <w:tr2bl w:val="nil"/>
            </w:tcBorders>
            <w:shd w:val="clear" w:color="auto" w:fill="D9E2F3"/>
            <w:vAlign w:val="center"/>
          </w:tcPr>
          <w:p w14:paraId="4D661935">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付款摘要</w:t>
            </w:r>
          </w:p>
        </w:tc>
        <w:tc>
          <w:tcPr>
            <w:tcW w:w="1701" w:type="dxa"/>
            <w:tcBorders>
              <w:bottom w:val="single" w:color="auto" w:sz="4" w:space="0"/>
              <w:tl2br w:val="nil"/>
              <w:tr2bl w:val="nil"/>
            </w:tcBorders>
            <w:shd w:val="clear" w:color="auto" w:fill="D9E2F3"/>
            <w:vAlign w:val="center"/>
          </w:tcPr>
          <w:p w14:paraId="6DEC4DB0">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发生额（万元）</w:t>
            </w:r>
          </w:p>
        </w:tc>
        <w:tc>
          <w:tcPr>
            <w:tcW w:w="1701" w:type="dxa"/>
            <w:tcBorders>
              <w:bottom w:val="single" w:color="auto" w:sz="4" w:space="0"/>
              <w:tl2br w:val="nil"/>
              <w:tr2bl w:val="nil"/>
            </w:tcBorders>
            <w:shd w:val="clear" w:color="auto" w:fill="D9E2F3"/>
            <w:vAlign w:val="center"/>
          </w:tcPr>
          <w:p w14:paraId="7273021F">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后续冲抵（万元）</w:t>
            </w:r>
          </w:p>
        </w:tc>
        <w:tc>
          <w:tcPr>
            <w:tcW w:w="1701" w:type="dxa"/>
            <w:tcBorders>
              <w:bottom w:val="single" w:color="auto" w:sz="4" w:space="0"/>
              <w:tl2br w:val="nil"/>
              <w:tr2bl w:val="nil"/>
            </w:tcBorders>
            <w:shd w:val="clear" w:color="auto" w:fill="D9E2F3"/>
            <w:vAlign w:val="center"/>
          </w:tcPr>
          <w:p w14:paraId="6D546240">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阶段余额（万元）</w:t>
            </w:r>
          </w:p>
        </w:tc>
      </w:tr>
      <w:tr w14:paraId="2C95B2A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top w:val="single" w:color="auto" w:sz="4" w:space="0"/>
            </w:tcBorders>
            <w:vAlign w:val="center"/>
          </w:tcPr>
          <w:p w14:paraId="3E77081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2024-12-10</w:t>
            </w:r>
          </w:p>
        </w:tc>
        <w:tc>
          <w:tcPr>
            <w:tcW w:w="2268" w:type="dxa"/>
            <w:tcBorders>
              <w:top w:val="single" w:color="auto" w:sz="4" w:space="0"/>
            </w:tcBorders>
            <w:vAlign w:val="center"/>
          </w:tcPr>
          <w:p w14:paraId="680888E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开业基础备货款</w:t>
            </w:r>
          </w:p>
        </w:tc>
        <w:tc>
          <w:tcPr>
            <w:tcW w:w="1701" w:type="dxa"/>
            <w:tcBorders>
              <w:top w:val="single" w:color="auto" w:sz="4" w:space="0"/>
            </w:tcBorders>
            <w:vAlign w:val="center"/>
          </w:tcPr>
          <w:p w14:paraId="46848A1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180</w:t>
            </w:r>
          </w:p>
        </w:tc>
        <w:tc>
          <w:tcPr>
            <w:tcW w:w="1701" w:type="dxa"/>
            <w:tcBorders>
              <w:top w:val="single" w:color="auto" w:sz="4" w:space="0"/>
            </w:tcBorders>
            <w:vAlign w:val="center"/>
          </w:tcPr>
          <w:p w14:paraId="32C5F89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142</w:t>
            </w:r>
          </w:p>
        </w:tc>
        <w:tc>
          <w:tcPr>
            <w:tcW w:w="1701" w:type="dxa"/>
            <w:tcBorders>
              <w:top w:val="single" w:color="auto" w:sz="4" w:space="0"/>
            </w:tcBorders>
            <w:vAlign w:val="center"/>
          </w:tcPr>
          <w:p w14:paraId="2415E65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38</w:t>
            </w:r>
          </w:p>
        </w:tc>
      </w:tr>
      <w:tr w14:paraId="1CFA5D2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tl2br w:val="nil"/>
              <w:tr2bl w:val="nil"/>
            </w:tcBorders>
            <w:vAlign w:val="center"/>
          </w:tcPr>
          <w:p w14:paraId="18EDC15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2024-12-22</w:t>
            </w:r>
          </w:p>
        </w:tc>
        <w:tc>
          <w:tcPr>
            <w:tcW w:w="2268" w:type="dxa"/>
            <w:tcBorders>
              <w:tl2br w:val="nil"/>
              <w:tr2bl w:val="nil"/>
            </w:tcBorders>
            <w:vAlign w:val="center"/>
          </w:tcPr>
          <w:p w14:paraId="6F61A1B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生鲜及日配采购款</w:t>
            </w:r>
          </w:p>
        </w:tc>
        <w:tc>
          <w:tcPr>
            <w:tcW w:w="1701" w:type="dxa"/>
            <w:tcBorders>
              <w:tl2br w:val="nil"/>
              <w:tr2bl w:val="nil"/>
            </w:tcBorders>
            <w:vAlign w:val="center"/>
          </w:tcPr>
          <w:p w14:paraId="6B54307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156</w:t>
            </w:r>
          </w:p>
        </w:tc>
        <w:tc>
          <w:tcPr>
            <w:tcW w:w="1701" w:type="dxa"/>
            <w:tcBorders>
              <w:tl2br w:val="nil"/>
              <w:tr2bl w:val="nil"/>
            </w:tcBorders>
            <w:vAlign w:val="center"/>
          </w:tcPr>
          <w:p w14:paraId="4FF5C8D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107</w:t>
            </w:r>
          </w:p>
        </w:tc>
        <w:tc>
          <w:tcPr>
            <w:tcW w:w="1701" w:type="dxa"/>
            <w:tcBorders>
              <w:tl2br w:val="nil"/>
              <w:tr2bl w:val="nil"/>
            </w:tcBorders>
            <w:vAlign w:val="center"/>
          </w:tcPr>
          <w:p w14:paraId="12841C4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49</w:t>
            </w:r>
          </w:p>
        </w:tc>
      </w:tr>
      <w:tr w14:paraId="05AFA72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tl2br w:val="nil"/>
              <w:tr2bl w:val="nil"/>
            </w:tcBorders>
            <w:vAlign w:val="center"/>
          </w:tcPr>
          <w:p w14:paraId="4B2D34A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2025-01-08</w:t>
            </w:r>
          </w:p>
        </w:tc>
        <w:tc>
          <w:tcPr>
            <w:tcW w:w="2268" w:type="dxa"/>
            <w:tcBorders>
              <w:tl2br w:val="nil"/>
              <w:tr2bl w:val="nil"/>
            </w:tcBorders>
            <w:vAlign w:val="center"/>
          </w:tcPr>
          <w:p w14:paraId="6FFC50C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春节档补货款</w:t>
            </w:r>
          </w:p>
        </w:tc>
        <w:tc>
          <w:tcPr>
            <w:tcW w:w="1701" w:type="dxa"/>
            <w:tcBorders>
              <w:tl2br w:val="nil"/>
              <w:tr2bl w:val="nil"/>
            </w:tcBorders>
            <w:vAlign w:val="center"/>
          </w:tcPr>
          <w:p w14:paraId="242478A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230</w:t>
            </w:r>
          </w:p>
        </w:tc>
        <w:tc>
          <w:tcPr>
            <w:tcW w:w="1701" w:type="dxa"/>
            <w:tcBorders>
              <w:tl2br w:val="nil"/>
              <w:tr2bl w:val="nil"/>
            </w:tcBorders>
            <w:vAlign w:val="center"/>
          </w:tcPr>
          <w:p w14:paraId="166D98F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168</w:t>
            </w:r>
          </w:p>
        </w:tc>
        <w:tc>
          <w:tcPr>
            <w:tcW w:w="1701" w:type="dxa"/>
            <w:tcBorders>
              <w:tl2br w:val="nil"/>
              <w:tr2bl w:val="nil"/>
            </w:tcBorders>
            <w:vAlign w:val="center"/>
          </w:tcPr>
          <w:p w14:paraId="57B9486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62</w:t>
            </w:r>
          </w:p>
        </w:tc>
      </w:tr>
      <w:tr w14:paraId="3ED3D19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tl2br w:val="nil"/>
              <w:tr2bl w:val="nil"/>
            </w:tcBorders>
            <w:vAlign w:val="center"/>
          </w:tcPr>
          <w:p w14:paraId="673ED9D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2025-01-26</w:t>
            </w:r>
          </w:p>
        </w:tc>
        <w:tc>
          <w:tcPr>
            <w:tcW w:w="2268" w:type="dxa"/>
            <w:tcBorders>
              <w:tl2br w:val="nil"/>
              <w:tr2bl w:val="nil"/>
            </w:tcBorders>
            <w:vAlign w:val="center"/>
          </w:tcPr>
          <w:p w14:paraId="287AA94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民生商品备货款</w:t>
            </w:r>
          </w:p>
        </w:tc>
        <w:tc>
          <w:tcPr>
            <w:tcW w:w="1701" w:type="dxa"/>
            <w:tcBorders>
              <w:tl2br w:val="nil"/>
              <w:tr2bl w:val="nil"/>
            </w:tcBorders>
            <w:vAlign w:val="center"/>
          </w:tcPr>
          <w:p w14:paraId="6C75D1D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145</w:t>
            </w:r>
          </w:p>
        </w:tc>
        <w:tc>
          <w:tcPr>
            <w:tcW w:w="1701" w:type="dxa"/>
            <w:tcBorders>
              <w:tl2br w:val="nil"/>
              <w:tr2bl w:val="nil"/>
            </w:tcBorders>
            <w:vAlign w:val="center"/>
          </w:tcPr>
          <w:p w14:paraId="19AAF14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98</w:t>
            </w:r>
          </w:p>
        </w:tc>
        <w:tc>
          <w:tcPr>
            <w:tcW w:w="1701" w:type="dxa"/>
            <w:tcBorders>
              <w:tl2br w:val="nil"/>
              <w:tr2bl w:val="nil"/>
            </w:tcBorders>
            <w:vAlign w:val="center"/>
          </w:tcPr>
          <w:p w14:paraId="19A7ABA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47</w:t>
            </w:r>
          </w:p>
        </w:tc>
      </w:tr>
      <w:tr w14:paraId="5594D69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tl2br w:val="nil"/>
              <w:tr2bl w:val="nil"/>
            </w:tcBorders>
            <w:vAlign w:val="center"/>
          </w:tcPr>
          <w:p w14:paraId="05B9D96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2025-02-14</w:t>
            </w:r>
          </w:p>
        </w:tc>
        <w:tc>
          <w:tcPr>
            <w:tcW w:w="2268" w:type="dxa"/>
            <w:tcBorders>
              <w:tl2br w:val="nil"/>
              <w:tr2bl w:val="nil"/>
            </w:tcBorders>
            <w:vAlign w:val="center"/>
          </w:tcPr>
          <w:p w14:paraId="06F583E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仓储周转补货款</w:t>
            </w:r>
          </w:p>
        </w:tc>
        <w:tc>
          <w:tcPr>
            <w:tcW w:w="1701" w:type="dxa"/>
            <w:tcBorders>
              <w:tl2br w:val="nil"/>
              <w:tr2bl w:val="nil"/>
            </w:tcBorders>
            <w:vAlign w:val="center"/>
          </w:tcPr>
          <w:p w14:paraId="418DDB9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275</w:t>
            </w:r>
          </w:p>
        </w:tc>
        <w:tc>
          <w:tcPr>
            <w:tcW w:w="1701" w:type="dxa"/>
            <w:tcBorders>
              <w:tl2br w:val="nil"/>
              <w:tr2bl w:val="nil"/>
            </w:tcBorders>
            <w:vAlign w:val="center"/>
          </w:tcPr>
          <w:p w14:paraId="4D0250E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185</w:t>
            </w:r>
          </w:p>
        </w:tc>
        <w:tc>
          <w:tcPr>
            <w:tcW w:w="1701" w:type="dxa"/>
            <w:tcBorders>
              <w:tl2br w:val="nil"/>
              <w:tr2bl w:val="nil"/>
            </w:tcBorders>
            <w:vAlign w:val="center"/>
          </w:tcPr>
          <w:p w14:paraId="55DAB17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90</w:t>
            </w:r>
          </w:p>
        </w:tc>
      </w:tr>
      <w:tr w14:paraId="1853B33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tl2br w:val="nil"/>
              <w:tr2bl w:val="nil"/>
            </w:tcBorders>
            <w:vAlign w:val="center"/>
          </w:tcPr>
          <w:p w14:paraId="4374F55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合计</w:t>
            </w:r>
          </w:p>
        </w:tc>
        <w:tc>
          <w:tcPr>
            <w:tcW w:w="2268" w:type="dxa"/>
            <w:tcBorders>
              <w:tl2br w:val="nil"/>
              <w:tr2bl w:val="nil"/>
            </w:tcBorders>
            <w:vAlign w:val="center"/>
          </w:tcPr>
          <w:p w14:paraId="7AA4B0F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w:t>
            </w:r>
          </w:p>
        </w:tc>
        <w:tc>
          <w:tcPr>
            <w:tcW w:w="1701" w:type="dxa"/>
            <w:tcBorders>
              <w:tl2br w:val="nil"/>
              <w:tr2bl w:val="nil"/>
            </w:tcBorders>
            <w:vAlign w:val="center"/>
          </w:tcPr>
          <w:p w14:paraId="18BA5AF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986</w:t>
            </w:r>
          </w:p>
        </w:tc>
        <w:tc>
          <w:tcPr>
            <w:tcW w:w="1701" w:type="dxa"/>
            <w:tcBorders>
              <w:tl2br w:val="nil"/>
              <w:tr2bl w:val="nil"/>
            </w:tcBorders>
            <w:vAlign w:val="center"/>
          </w:tcPr>
          <w:p w14:paraId="097E7D9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700</w:t>
            </w:r>
          </w:p>
        </w:tc>
        <w:tc>
          <w:tcPr>
            <w:tcW w:w="1701" w:type="dxa"/>
            <w:tcBorders>
              <w:tl2br w:val="nil"/>
              <w:tr2bl w:val="nil"/>
            </w:tcBorders>
            <w:vAlign w:val="center"/>
          </w:tcPr>
          <w:p w14:paraId="17DA00E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286</w:t>
            </w:r>
          </w:p>
        </w:tc>
      </w:tr>
    </w:tbl>
    <w:p w14:paraId="3CA5FEC7">
      <w:pPr>
        <w:spacing w:after="40"/>
      </w:pPr>
    </w:p>
    <w:p w14:paraId="11D8FBC4">
      <w:pPr>
        <w:spacing w:before="0" w:after="80" w:line="300" w:lineRule="auto"/>
        <w:ind w:firstLine="480"/>
        <w:rPr>
          <w:rFonts w:hint="default" w:ascii="Times New Roman" w:hAnsi="Times New Roman" w:eastAsia="宋体" w:cs="黑体"/>
          <w:bCs/>
          <w:color w:val="0F1115"/>
          <w:kern w:val="44"/>
          <w:sz w:val="24"/>
          <w:szCs w:val="30"/>
          <w:shd w:val="clear" w:fill="FFFFFF"/>
          <w:lang w:val="en-US" w:eastAsia="zh-CN" w:bidi="ar-SA"/>
        </w:rPr>
      </w:pPr>
      <w:r>
        <w:rPr>
          <w:rFonts w:hint="default" w:ascii="Times New Roman" w:hAnsi="Times New Roman" w:eastAsia="宋体" w:cs="黑体"/>
          <w:bCs/>
          <w:color w:val="0F1115"/>
          <w:kern w:val="44"/>
          <w:sz w:val="24"/>
          <w:szCs w:val="30"/>
          <w:shd w:val="clear" w:fill="FFFFFF"/>
          <w:lang w:val="en-US" w:eastAsia="zh-CN" w:bidi="ar-SA"/>
        </w:rPr>
        <w:t>该表显示，开业前后累计付款额较大，后续虽有较多冲抵，但阶段余额仍为286万元。核查重点是剩余余额是否已对应明确商品、是否存在跨项目调拨以及是否仍由本项目承担资金成本。</w:t>
      </w:r>
    </w:p>
    <w:p w14:paraId="6E558439">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二、平台结算差异跟踪表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268"/>
        <w:gridCol w:w="1701"/>
        <w:gridCol w:w="1701"/>
        <w:gridCol w:w="2268"/>
      </w:tblGrid>
      <w:tr w14:paraId="26C2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000000" w:themeColor="text1" w:sz="12" w:space="0"/>
              <w:left w:val="nil"/>
              <w:bottom w:val="single" w:color="000000" w:themeColor="text1" w:sz="4" w:space="0"/>
              <w:right w:val="nil"/>
            </w:tcBorders>
            <w:shd w:val="clear" w:color="auto" w:fill="D9E2F3"/>
            <w:vAlign w:val="center"/>
          </w:tcPr>
          <w:p w14:paraId="69B8E6E7">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月份</w:t>
            </w:r>
          </w:p>
        </w:tc>
        <w:tc>
          <w:tcPr>
            <w:tcW w:w="2268" w:type="dxa"/>
            <w:tcBorders>
              <w:top w:val="single" w:color="000000" w:themeColor="text1" w:sz="12" w:space="0"/>
              <w:left w:val="nil"/>
              <w:bottom w:val="single" w:color="000000" w:themeColor="text1" w:sz="4" w:space="0"/>
              <w:right w:val="nil"/>
            </w:tcBorders>
            <w:shd w:val="clear" w:color="auto" w:fill="D9E2F3"/>
            <w:vAlign w:val="center"/>
          </w:tcPr>
          <w:p w14:paraId="58C6CB4B">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平台确认销售额（万元）</w:t>
            </w:r>
          </w:p>
        </w:tc>
        <w:tc>
          <w:tcPr>
            <w:tcW w:w="1701" w:type="dxa"/>
            <w:tcBorders>
              <w:top w:val="single" w:color="000000" w:themeColor="text1" w:sz="12" w:space="0"/>
              <w:left w:val="nil"/>
              <w:bottom w:val="single" w:color="000000" w:themeColor="text1" w:sz="4" w:space="0"/>
              <w:right w:val="nil"/>
            </w:tcBorders>
            <w:shd w:val="clear" w:color="auto" w:fill="D9E2F3"/>
            <w:vAlign w:val="center"/>
          </w:tcPr>
          <w:p w14:paraId="0BCE6168">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平台扣费（万元）</w:t>
            </w:r>
          </w:p>
        </w:tc>
        <w:tc>
          <w:tcPr>
            <w:tcW w:w="1701" w:type="dxa"/>
            <w:tcBorders>
              <w:top w:val="single" w:color="000000" w:themeColor="text1" w:sz="12" w:space="0"/>
              <w:left w:val="nil"/>
              <w:bottom w:val="single" w:color="000000" w:themeColor="text1" w:sz="4" w:space="0"/>
              <w:right w:val="nil"/>
            </w:tcBorders>
            <w:shd w:val="clear" w:color="auto" w:fill="D9E2F3"/>
            <w:vAlign w:val="center"/>
          </w:tcPr>
          <w:p w14:paraId="311BFAB2">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实际回款（万元）</w:t>
            </w:r>
          </w:p>
        </w:tc>
        <w:tc>
          <w:tcPr>
            <w:tcW w:w="2268" w:type="dxa"/>
            <w:tcBorders>
              <w:top w:val="single" w:color="000000" w:themeColor="text1" w:sz="12" w:space="0"/>
              <w:left w:val="nil"/>
              <w:bottom w:val="single" w:color="000000" w:themeColor="text1" w:sz="4" w:space="0"/>
              <w:right w:val="nil"/>
            </w:tcBorders>
            <w:shd w:val="clear" w:color="auto" w:fill="D9E2F3"/>
            <w:vAlign w:val="center"/>
          </w:tcPr>
          <w:p w14:paraId="0F823EF7">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差异/待回流（万元）</w:t>
            </w:r>
          </w:p>
        </w:tc>
      </w:tr>
      <w:tr w14:paraId="5713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single" w:color="000000" w:themeColor="text1" w:sz="4" w:space="0"/>
              <w:left w:val="nil"/>
              <w:bottom w:val="nil"/>
              <w:right w:val="nil"/>
            </w:tcBorders>
            <w:vAlign w:val="center"/>
          </w:tcPr>
          <w:p w14:paraId="115F30D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2025-02</w:t>
            </w:r>
          </w:p>
        </w:tc>
        <w:tc>
          <w:tcPr>
            <w:tcW w:w="2268" w:type="dxa"/>
            <w:tcBorders>
              <w:top w:val="single" w:color="000000" w:themeColor="text1" w:sz="4" w:space="0"/>
              <w:left w:val="nil"/>
              <w:bottom w:val="nil"/>
              <w:right w:val="nil"/>
            </w:tcBorders>
            <w:vAlign w:val="center"/>
          </w:tcPr>
          <w:p w14:paraId="2BEB15D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96</w:t>
            </w:r>
          </w:p>
        </w:tc>
        <w:tc>
          <w:tcPr>
            <w:tcW w:w="1701" w:type="dxa"/>
            <w:tcBorders>
              <w:top w:val="single" w:color="000000" w:themeColor="text1" w:sz="4" w:space="0"/>
              <w:left w:val="nil"/>
              <w:bottom w:val="nil"/>
              <w:right w:val="nil"/>
            </w:tcBorders>
            <w:vAlign w:val="center"/>
          </w:tcPr>
          <w:p w14:paraId="6E5CBE9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5</w:t>
            </w:r>
          </w:p>
        </w:tc>
        <w:tc>
          <w:tcPr>
            <w:tcW w:w="1701" w:type="dxa"/>
            <w:tcBorders>
              <w:top w:val="single" w:color="000000" w:themeColor="text1" w:sz="4" w:space="0"/>
              <w:left w:val="nil"/>
              <w:bottom w:val="nil"/>
              <w:right w:val="nil"/>
            </w:tcBorders>
            <w:vAlign w:val="center"/>
          </w:tcPr>
          <w:p w14:paraId="51484FE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60</w:t>
            </w:r>
          </w:p>
        </w:tc>
        <w:tc>
          <w:tcPr>
            <w:tcW w:w="2268" w:type="dxa"/>
            <w:tcBorders>
              <w:top w:val="single" w:color="000000" w:themeColor="text1" w:sz="4" w:space="0"/>
              <w:left w:val="nil"/>
              <w:bottom w:val="nil"/>
              <w:right w:val="nil"/>
            </w:tcBorders>
            <w:vAlign w:val="center"/>
          </w:tcPr>
          <w:p w14:paraId="63C9CBE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31</w:t>
            </w:r>
          </w:p>
        </w:tc>
      </w:tr>
      <w:tr w14:paraId="49E1E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242CF9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2025-03</w:t>
            </w:r>
          </w:p>
        </w:tc>
        <w:tc>
          <w:tcPr>
            <w:tcW w:w="2268" w:type="dxa"/>
            <w:tcBorders>
              <w:top w:val="nil"/>
              <w:left w:val="nil"/>
              <w:bottom w:val="nil"/>
              <w:right w:val="nil"/>
            </w:tcBorders>
            <w:vAlign w:val="center"/>
          </w:tcPr>
          <w:p w14:paraId="4E3B593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132</w:t>
            </w:r>
          </w:p>
        </w:tc>
        <w:tc>
          <w:tcPr>
            <w:tcW w:w="1701" w:type="dxa"/>
            <w:tcBorders>
              <w:top w:val="nil"/>
              <w:left w:val="nil"/>
              <w:bottom w:val="nil"/>
              <w:right w:val="nil"/>
            </w:tcBorders>
            <w:vAlign w:val="center"/>
          </w:tcPr>
          <w:p w14:paraId="15E16DE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8</w:t>
            </w:r>
          </w:p>
        </w:tc>
        <w:tc>
          <w:tcPr>
            <w:tcW w:w="1701" w:type="dxa"/>
            <w:tcBorders>
              <w:top w:val="nil"/>
              <w:left w:val="nil"/>
              <w:bottom w:val="nil"/>
              <w:right w:val="nil"/>
            </w:tcBorders>
            <w:vAlign w:val="center"/>
          </w:tcPr>
          <w:p w14:paraId="4E4DE18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80</w:t>
            </w:r>
          </w:p>
        </w:tc>
        <w:tc>
          <w:tcPr>
            <w:tcW w:w="2268" w:type="dxa"/>
            <w:tcBorders>
              <w:top w:val="nil"/>
              <w:left w:val="nil"/>
              <w:bottom w:val="nil"/>
              <w:right w:val="nil"/>
            </w:tcBorders>
            <w:vAlign w:val="center"/>
          </w:tcPr>
          <w:p w14:paraId="22CFBE2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44</w:t>
            </w:r>
          </w:p>
        </w:tc>
      </w:tr>
      <w:tr w14:paraId="2017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C9E22B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2025-04</w:t>
            </w:r>
          </w:p>
        </w:tc>
        <w:tc>
          <w:tcPr>
            <w:tcW w:w="2268" w:type="dxa"/>
            <w:tcBorders>
              <w:top w:val="nil"/>
              <w:left w:val="nil"/>
              <w:bottom w:val="nil"/>
              <w:right w:val="nil"/>
            </w:tcBorders>
            <w:vAlign w:val="center"/>
          </w:tcPr>
          <w:p w14:paraId="4473325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85</w:t>
            </w:r>
          </w:p>
        </w:tc>
        <w:tc>
          <w:tcPr>
            <w:tcW w:w="1701" w:type="dxa"/>
            <w:tcBorders>
              <w:top w:val="nil"/>
              <w:left w:val="nil"/>
              <w:bottom w:val="nil"/>
              <w:right w:val="nil"/>
            </w:tcBorders>
            <w:vAlign w:val="center"/>
          </w:tcPr>
          <w:p w14:paraId="4906987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w:t>
            </w:r>
          </w:p>
        </w:tc>
        <w:tc>
          <w:tcPr>
            <w:tcW w:w="1701" w:type="dxa"/>
            <w:tcBorders>
              <w:top w:val="nil"/>
              <w:left w:val="nil"/>
              <w:bottom w:val="nil"/>
              <w:right w:val="nil"/>
            </w:tcBorders>
            <w:vAlign w:val="center"/>
          </w:tcPr>
          <w:p w14:paraId="21EE736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54</w:t>
            </w:r>
          </w:p>
        </w:tc>
        <w:tc>
          <w:tcPr>
            <w:tcW w:w="2268" w:type="dxa"/>
            <w:tcBorders>
              <w:top w:val="nil"/>
              <w:left w:val="nil"/>
              <w:bottom w:val="nil"/>
              <w:right w:val="nil"/>
            </w:tcBorders>
            <w:vAlign w:val="center"/>
          </w:tcPr>
          <w:p w14:paraId="39D9693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27</w:t>
            </w:r>
          </w:p>
        </w:tc>
      </w:tr>
      <w:tr w14:paraId="17B9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0525A7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2025-05</w:t>
            </w:r>
          </w:p>
        </w:tc>
        <w:tc>
          <w:tcPr>
            <w:tcW w:w="2268" w:type="dxa"/>
            <w:tcBorders>
              <w:top w:val="nil"/>
              <w:left w:val="nil"/>
              <w:bottom w:val="nil"/>
              <w:right w:val="nil"/>
            </w:tcBorders>
            <w:vAlign w:val="center"/>
          </w:tcPr>
          <w:p w14:paraId="2B6A938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118</w:t>
            </w:r>
          </w:p>
        </w:tc>
        <w:tc>
          <w:tcPr>
            <w:tcW w:w="1701" w:type="dxa"/>
            <w:tcBorders>
              <w:top w:val="nil"/>
              <w:left w:val="nil"/>
              <w:bottom w:val="nil"/>
              <w:right w:val="nil"/>
            </w:tcBorders>
            <w:vAlign w:val="center"/>
          </w:tcPr>
          <w:p w14:paraId="2C4F882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7</w:t>
            </w:r>
          </w:p>
        </w:tc>
        <w:tc>
          <w:tcPr>
            <w:tcW w:w="1701" w:type="dxa"/>
            <w:tcBorders>
              <w:top w:val="nil"/>
              <w:left w:val="nil"/>
              <w:bottom w:val="nil"/>
              <w:right w:val="nil"/>
            </w:tcBorders>
            <w:vAlign w:val="center"/>
          </w:tcPr>
          <w:p w14:paraId="0178C9B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71</w:t>
            </w:r>
          </w:p>
        </w:tc>
        <w:tc>
          <w:tcPr>
            <w:tcW w:w="2268" w:type="dxa"/>
            <w:tcBorders>
              <w:top w:val="nil"/>
              <w:left w:val="nil"/>
              <w:bottom w:val="nil"/>
              <w:right w:val="nil"/>
            </w:tcBorders>
            <w:vAlign w:val="center"/>
          </w:tcPr>
          <w:p w14:paraId="2FF3192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40</w:t>
            </w:r>
          </w:p>
        </w:tc>
      </w:tr>
      <w:tr w14:paraId="2025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Borders>
              <w:top w:val="nil"/>
              <w:left w:val="nil"/>
              <w:bottom w:val="single" w:color="000000" w:themeColor="text1" w:sz="12" w:space="0"/>
              <w:right w:val="nil"/>
            </w:tcBorders>
            <w:vAlign w:val="center"/>
          </w:tcPr>
          <w:p w14:paraId="7D0497B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合计</w:t>
            </w:r>
          </w:p>
        </w:tc>
        <w:tc>
          <w:tcPr>
            <w:tcW w:w="2268" w:type="dxa"/>
            <w:tcBorders>
              <w:top w:val="nil"/>
              <w:left w:val="nil"/>
              <w:bottom w:val="single" w:color="000000" w:themeColor="text1" w:sz="12" w:space="0"/>
              <w:right w:val="nil"/>
            </w:tcBorders>
            <w:vAlign w:val="center"/>
          </w:tcPr>
          <w:p w14:paraId="4EBC8BC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431</w:t>
            </w:r>
          </w:p>
        </w:tc>
        <w:tc>
          <w:tcPr>
            <w:tcW w:w="1701" w:type="dxa"/>
            <w:tcBorders>
              <w:top w:val="nil"/>
              <w:left w:val="nil"/>
              <w:bottom w:val="single" w:color="000000" w:themeColor="text1" w:sz="12" w:space="0"/>
              <w:right w:val="nil"/>
            </w:tcBorders>
            <w:vAlign w:val="center"/>
          </w:tcPr>
          <w:p w14:paraId="22E6D269">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24</w:t>
            </w:r>
          </w:p>
        </w:tc>
        <w:tc>
          <w:tcPr>
            <w:tcW w:w="1701" w:type="dxa"/>
            <w:tcBorders>
              <w:top w:val="nil"/>
              <w:left w:val="nil"/>
              <w:bottom w:val="single" w:color="000000" w:themeColor="text1" w:sz="12" w:space="0"/>
              <w:right w:val="nil"/>
            </w:tcBorders>
            <w:vAlign w:val="center"/>
          </w:tcPr>
          <w:p w14:paraId="2C3EB8D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265</w:t>
            </w:r>
          </w:p>
        </w:tc>
        <w:tc>
          <w:tcPr>
            <w:tcW w:w="2268" w:type="dxa"/>
            <w:tcBorders>
              <w:top w:val="nil"/>
              <w:left w:val="nil"/>
              <w:bottom w:val="single" w:color="000000" w:themeColor="text1" w:sz="12" w:space="0"/>
              <w:right w:val="nil"/>
            </w:tcBorders>
            <w:vAlign w:val="center"/>
          </w:tcPr>
          <w:p w14:paraId="22B9DE2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142</w:t>
            </w:r>
          </w:p>
        </w:tc>
      </w:tr>
    </w:tbl>
    <w:p w14:paraId="0B356779">
      <w:pPr>
        <w:spacing w:after="40"/>
      </w:pPr>
    </w:p>
    <w:p w14:paraId="069A15AF">
      <w:pPr>
        <w:spacing w:before="0" w:after="80" w:line="300" w:lineRule="auto"/>
        <w:ind w:firstLine="480"/>
      </w:pPr>
      <w:r>
        <w:rPr>
          <w:rFonts w:hint="default" w:ascii="Times New Roman" w:hAnsi="Times New Roman" w:eastAsia="宋体" w:cs="黑体"/>
          <w:bCs/>
          <w:color w:val="0F1115"/>
          <w:kern w:val="44"/>
          <w:sz w:val="24"/>
          <w:szCs w:val="30"/>
          <w:shd w:val="clear" w:fill="FFFFFF"/>
          <w:lang w:val="en-US" w:eastAsia="zh-CN" w:bidi="ar-SA"/>
        </w:rPr>
        <w:t>差异形成原因可能包括平台手续费、退款、跨月核销、代运营方暂存以及账务归集口径差异。后续应逐月取得后台明细，不能仅依据汇总表确认。</w:t>
      </w:r>
    </w:p>
    <w:p w14:paraId="6DB8D12B">
      <w:pPr>
        <w:pStyle w:val="4"/>
        <w:spacing w:before="120" w:after="60" w:line="300" w:lineRule="auto"/>
      </w:pPr>
      <w:r>
        <w:rPr>
          <w:rFonts w:ascii="Times New Roman" w:hAnsi="Times New Roman" w:eastAsia="黑体"/>
          <w:b/>
          <w:color w:val="000000"/>
          <w:sz w:val="28"/>
        </w:rPr>
        <w:t>三、服务费用拆分核查表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551"/>
        <w:gridCol w:w="1701"/>
        <w:gridCol w:w="2835"/>
      </w:tblGrid>
      <w:tr w14:paraId="705D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000000" w:themeColor="text1" w:sz="12" w:space="0"/>
              <w:left w:val="nil"/>
              <w:bottom w:val="single" w:color="auto" w:sz="4" w:space="0"/>
              <w:right w:val="nil"/>
            </w:tcBorders>
            <w:shd w:val="clear" w:color="auto" w:fill="D9E2F3"/>
            <w:vAlign w:val="center"/>
          </w:tcPr>
          <w:p w14:paraId="0F57D534">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费用项目</w:t>
            </w:r>
          </w:p>
        </w:tc>
        <w:tc>
          <w:tcPr>
            <w:tcW w:w="2551" w:type="dxa"/>
            <w:tcBorders>
              <w:top w:val="single" w:color="000000" w:themeColor="text1" w:sz="12" w:space="0"/>
              <w:left w:val="nil"/>
              <w:bottom w:val="single" w:color="auto" w:sz="4" w:space="0"/>
              <w:right w:val="nil"/>
            </w:tcBorders>
            <w:shd w:val="clear" w:color="auto" w:fill="D9E2F3"/>
            <w:vAlign w:val="center"/>
          </w:tcPr>
          <w:p w14:paraId="2486A801">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合同覆盖判断</w:t>
            </w:r>
          </w:p>
        </w:tc>
        <w:tc>
          <w:tcPr>
            <w:tcW w:w="1701" w:type="dxa"/>
            <w:tcBorders>
              <w:top w:val="single" w:color="000000" w:themeColor="text1" w:sz="12" w:space="0"/>
              <w:left w:val="nil"/>
              <w:bottom w:val="single" w:color="auto" w:sz="4" w:space="0"/>
              <w:right w:val="nil"/>
            </w:tcBorders>
            <w:shd w:val="clear" w:color="auto" w:fill="D9E2F3"/>
            <w:vAlign w:val="center"/>
          </w:tcPr>
          <w:p w14:paraId="66DA0BBE">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已付金额（万元）</w:t>
            </w:r>
          </w:p>
        </w:tc>
        <w:tc>
          <w:tcPr>
            <w:tcW w:w="2835" w:type="dxa"/>
            <w:tcBorders>
              <w:top w:val="single" w:color="000000" w:themeColor="text1" w:sz="12" w:space="0"/>
              <w:left w:val="nil"/>
              <w:bottom w:val="single" w:color="auto" w:sz="4" w:space="0"/>
              <w:right w:val="nil"/>
            </w:tcBorders>
            <w:shd w:val="clear" w:color="auto" w:fill="D9E2F3"/>
            <w:vAlign w:val="center"/>
          </w:tcPr>
          <w:p w14:paraId="2624D123">
            <w:pPr>
              <w:pStyle w:val="166"/>
              <w:widowControl w:val="0"/>
              <w:bidi w:val="0"/>
              <w:spacing w:after="0" w:line="240" w:lineRule="auto"/>
              <w:rPr>
                <w:rFonts w:hint="eastAsia" w:eastAsiaTheme="minorEastAsia"/>
                <w:b/>
                <w:bCs/>
                <w:kern w:val="2"/>
                <w:szCs w:val="24"/>
                <w:lang w:val="en-US" w:eastAsia="zh-CN"/>
              </w:rPr>
            </w:pPr>
            <w:r>
              <w:rPr>
                <w:rFonts w:hint="eastAsia" w:eastAsiaTheme="minorEastAsia"/>
                <w:b/>
                <w:bCs/>
                <w:kern w:val="2"/>
                <w:szCs w:val="24"/>
                <w:lang w:val="en-US" w:eastAsia="zh-CN"/>
              </w:rPr>
              <w:t>建议处理方式</w:t>
            </w:r>
          </w:p>
        </w:tc>
      </w:tr>
      <w:tr w14:paraId="2E03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single" w:color="auto" w:sz="4" w:space="0"/>
              <w:left w:val="nil"/>
              <w:bottom w:val="nil"/>
              <w:right w:val="nil"/>
            </w:tcBorders>
            <w:vAlign w:val="center"/>
          </w:tcPr>
          <w:p w14:paraId="45E10E64">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配送协同费</w:t>
            </w:r>
          </w:p>
        </w:tc>
        <w:tc>
          <w:tcPr>
            <w:tcW w:w="2551" w:type="dxa"/>
            <w:tcBorders>
              <w:top w:val="single" w:color="auto" w:sz="4" w:space="0"/>
              <w:left w:val="nil"/>
              <w:bottom w:val="nil"/>
              <w:right w:val="nil"/>
            </w:tcBorders>
            <w:vAlign w:val="center"/>
          </w:tcPr>
          <w:p w14:paraId="2D2E8C9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可能已包含在年度服务费内</w:t>
            </w:r>
          </w:p>
        </w:tc>
        <w:tc>
          <w:tcPr>
            <w:tcW w:w="1701" w:type="dxa"/>
            <w:tcBorders>
              <w:top w:val="single" w:color="auto" w:sz="4" w:space="0"/>
              <w:left w:val="nil"/>
              <w:bottom w:val="nil"/>
              <w:right w:val="nil"/>
            </w:tcBorders>
            <w:vAlign w:val="center"/>
          </w:tcPr>
          <w:p w14:paraId="67BC985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23</w:t>
            </w:r>
          </w:p>
        </w:tc>
        <w:tc>
          <w:tcPr>
            <w:tcW w:w="2835" w:type="dxa"/>
            <w:tcBorders>
              <w:top w:val="single" w:color="auto" w:sz="4" w:space="0"/>
              <w:left w:val="nil"/>
              <w:bottom w:val="nil"/>
              <w:right w:val="nil"/>
            </w:tcBorders>
            <w:vAlign w:val="center"/>
          </w:tcPr>
          <w:p w14:paraId="04580D8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要求提供独立配送计费依据和对账单</w:t>
            </w:r>
          </w:p>
        </w:tc>
      </w:tr>
      <w:tr w14:paraId="6390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nil"/>
              <w:left w:val="nil"/>
              <w:bottom w:val="nil"/>
              <w:right w:val="nil"/>
            </w:tcBorders>
            <w:vAlign w:val="center"/>
          </w:tcPr>
          <w:p w14:paraId="1A40DD9D">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系统维护费</w:t>
            </w:r>
          </w:p>
        </w:tc>
        <w:tc>
          <w:tcPr>
            <w:tcW w:w="2551" w:type="dxa"/>
            <w:tcBorders>
              <w:top w:val="nil"/>
              <w:left w:val="nil"/>
              <w:bottom w:val="nil"/>
              <w:right w:val="nil"/>
            </w:tcBorders>
            <w:vAlign w:val="center"/>
          </w:tcPr>
          <w:p w14:paraId="7FF40B9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与后台系统支持内容存在重合</w:t>
            </w:r>
          </w:p>
        </w:tc>
        <w:tc>
          <w:tcPr>
            <w:tcW w:w="1701" w:type="dxa"/>
            <w:tcBorders>
              <w:top w:val="nil"/>
              <w:left w:val="nil"/>
              <w:bottom w:val="nil"/>
              <w:right w:val="nil"/>
            </w:tcBorders>
            <w:vAlign w:val="center"/>
          </w:tcPr>
          <w:p w14:paraId="298D12B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9</w:t>
            </w:r>
          </w:p>
        </w:tc>
        <w:tc>
          <w:tcPr>
            <w:tcW w:w="2835" w:type="dxa"/>
            <w:tcBorders>
              <w:top w:val="nil"/>
              <w:left w:val="nil"/>
              <w:bottom w:val="nil"/>
              <w:right w:val="nil"/>
            </w:tcBorders>
            <w:vAlign w:val="center"/>
          </w:tcPr>
          <w:p w14:paraId="7EAC3B3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核对系统服务清单及维护记录</w:t>
            </w:r>
          </w:p>
        </w:tc>
      </w:tr>
      <w:tr w14:paraId="37C6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nil"/>
              <w:left w:val="nil"/>
              <w:bottom w:val="nil"/>
              <w:right w:val="nil"/>
            </w:tcBorders>
            <w:vAlign w:val="center"/>
          </w:tcPr>
          <w:p w14:paraId="7F099BCB">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促销统筹费</w:t>
            </w:r>
          </w:p>
        </w:tc>
        <w:tc>
          <w:tcPr>
            <w:tcW w:w="2551" w:type="dxa"/>
            <w:tcBorders>
              <w:top w:val="nil"/>
              <w:left w:val="nil"/>
              <w:bottom w:val="nil"/>
              <w:right w:val="nil"/>
            </w:tcBorders>
            <w:vAlign w:val="center"/>
          </w:tcPr>
          <w:p w14:paraId="2F429077">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与运营管理职责存在交叉</w:t>
            </w:r>
          </w:p>
        </w:tc>
        <w:tc>
          <w:tcPr>
            <w:tcW w:w="1701" w:type="dxa"/>
            <w:tcBorders>
              <w:top w:val="nil"/>
              <w:left w:val="nil"/>
              <w:bottom w:val="nil"/>
              <w:right w:val="nil"/>
            </w:tcBorders>
            <w:vAlign w:val="center"/>
          </w:tcPr>
          <w:p w14:paraId="666A1DD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28</w:t>
            </w:r>
          </w:p>
        </w:tc>
        <w:tc>
          <w:tcPr>
            <w:tcW w:w="2835" w:type="dxa"/>
            <w:tcBorders>
              <w:top w:val="nil"/>
              <w:left w:val="nil"/>
              <w:bottom w:val="nil"/>
              <w:right w:val="nil"/>
            </w:tcBorders>
            <w:vAlign w:val="center"/>
          </w:tcPr>
          <w:p w14:paraId="531E822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核对活动预算、执行照片和结算单</w:t>
            </w:r>
          </w:p>
        </w:tc>
      </w:tr>
      <w:tr w14:paraId="1874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nil"/>
              <w:left w:val="nil"/>
              <w:bottom w:val="nil"/>
              <w:right w:val="nil"/>
            </w:tcBorders>
            <w:vAlign w:val="center"/>
          </w:tcPr>
          <w:p w14:paraId="436AC842">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后台核算支持费</w:t>
            </w:r>
          </w:p>
        </w:tc>
        <w:tc>
          <w:tcPr>
            <w:tcW w:w="2551" w:type="dxa"/>
            <w:tcBorders>
              <w:top w:val="nil"/>
              <w:left w:val="nil"/>
              <w:bottom w:val="nil"/>
              <w:right w:val="nil"/>
            </w:tcBorders>
            <w:vAlign w:val="center"/>
          </w:tcPr>
          <w:p w14:paraId="7875147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与财务核算职责存在重合</w:t>
            </w:r>
          </w:p>
        </w:tc>
        <w:tc>
          <w:tcPr>
            <w:tcW w:w="1701" w:type="dxa"/>
            <w:tcBorders>
              <w:top w:val="nil"/>
              <w:left w:val="nil"/>
              <w:bottom w:val="nil"/>
              <w:right w:val="nil"/>
            </w:tcBorders>
            <w:vAlign w:val="center"/>
          </w:tcPr>
          <w:p w14:paraId="6F194398">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8</w:t>
            </w:r>
          </w:p>
        </w:tc>
        <w:tc>
          <w:tcPr>
            <w:tcW w:w="2835" w:type="dxa"/>
            <w:tcBorders>
              <w:top w:val="nil"/>
              <w:left w:val="nil"/>
              <w:bottom w:val="nil"/>
              <w:right w:val="nil"/>
            </w:tcBorders>
            <w:vAlign w:val="center"/>
          </w:tcPr>
          <w:p w14:paraId="7912323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明确是否属于另行聘用服务</w:t>
            </w:r>
          </w:p>
        </w:tc>
      </w:tr>
      <w:tr w14:paraId="7D36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Borders>
              <w:top w:val="nil"/>
              <w:left w:val="nil"/>
              <w:bottom w:val="single" w:color="000000" w:themeColor="text1" w:sz="12" w:space="0"/>
              <w:right w:val="nil"/>
            </w:tcBorders>
            <w:vAlign w:val="center"/>
          </w:tcPr>
          <w:p w14:paraId="74B6034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合计</w:t>
            </w:r>
          </w:p>
        </w:tc>
        <w:tc>
          <w:tcPr>
            <w:tcW w:w="2551" w:type="dxa"/>
            <w:tcBorders>
              <w:top w:val="nil"/>
              <w:left w:val="nil"/>
              <w:bottom w:val="single" w:color="000000" w:themeColor="text1" w:sz="12" w:space="0"/>
              <w:right w:val="nil"/>
            </w:tcBorders>
            <w:vAlign w:val="center"/>
          </w:tcPr>
          <w:p w14:paraId="7942873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w:t>
            </w:r>
          </w:p>
        </w:tc>
        <w:tc>
          <w:tcPr>
            <w:tcW w:w="1701" w:type="dxa"/>
            <w:tcBorders>
              <w:top w:val="nil"/>
              <w:left w:val="nil"/>
              <w:bottom w:val="single" w:color="000000" w:themeColor="text1" w:sz="12" w:space="0"/>
              <w:right w:val="nil"/>
            </w:tcBorders>
            <w:vAlign w:val="center"/>
          </w:tcPr>
          <w:p w14:paraId="30635A9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68</w:t>
            </w:r>
          </w:p>
        </w:tc>
        <w:tc>
          <w:tcPr>
            <w:tcW w:w="2835" w:type="dxa"/>
            <w:tcBorders>
              <w:top w:val="nil"/>
              <w:left w:val="nil"/>
              <w:bottom w:val="single" w:color="000000" w:themeColor="text1" w:sz="12" w:space="0"/>
              <w:right w:val="nil"/>
            </w:tcBorders>
            <w:vAlign w:val="center"/>
          </w:tcPr>
          <w:p w14:paraId="795D1B3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暂列争议费用，待合同解释和证据确认</w:t>
            </w:r>
          </w:p>
        </w:tc>
      </w:tr>
    </w:tbl>
    <w:p w14:paraId="0FEFC744">
      <w:pPr>
        <w:spacing w:after="40"/>
      </w:pPr>
    </w:p>
    <w:p w14:paraId="3A87CFDD">
      <w:pPr>
        <w:pStyle w:val="3"/>
        <w:spacing w:before="200" w:after="120" w:line="300" w:lineRule="auto"/>
      </w:pPr>
      <w:r>
        <w:rPr>
          <w:rFonts w:ascii="Times New Roman" w:hAnsi="Times New Roman" w:eastAsia="黑体"/>
          <w:b/>
          <w:color w:val="000000"/>
          <w:sz w:val="32"/>
        </w:rPr>
        <w:t>第八部分：整改建议及工作安排</w:t>
      </w:r>
    </w:p>
    <w:p w14:paraId="35648DB3">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一、短期资料固定</w:t>
      </w:r>
    </w:p>
    <w:p w14:paraId="07E1DD23">
      <w:pPr>
        <w:pStyle w:val="165"/>
        <w:shd w:val="clear" w:fill="FFFFFF"/>
        <w:bidi w:val="0"/>
        <w:jc w:val="both"/>
        <w:rPr>
          <w:rFonts w:hint="eastAsia"/>
          <w:lang w:val="en-US" w:eastAsia="zh-CN"/>
        </w:rPr>
      </w:pPr>
      <w:r>
        <w:rPr>
          <w:rFonts w:hint="eastAsia"/>
          <w:lang w:val="en-US" w:eastAsia="zh-CN"/>
        </w:rPr>
        <w:t>1. 立即导出银行流水、平台后台订单、供应商往来明细和财务软件余额表，并以只读方式备份。</w:t>
      </w:r>
    </w:p>
    <w:p w14:paraId="43ECD19D">
      <w:pPr>
        <w:pStyle w:val="165"/>
        <w:shd w:val="clear" w:fill="FFFFFF"/>
        <w:bidi w:val="0"/>
        <w:jc w:val="both"/>
        <w:rPr>
          <w:rFonts w:hint="eastAsia"/>
          <w:lang w:val="en-US" w:eastAsia="zh-CN"/>
        </w:rPr>
      </w:pPr>
      <w:r>
        <w:rPr>
          <w:rFonts w:hint="eastAsia"/>
          <w:lang w:val="en-US" w:eastAsia="zh-CN"/>
        </w:rPr>
        <w:t>2. 向各收款主体发出书面对账函，要求其确认款项性质、余额、冲抵计划和对应业务依据。</w:t>
      </w:r>
    </w:p>
    <w:p w14:paraId="1559129A">
      <w:pPr>
        <w:pStyle w:val="165"/>
        <w:shd w:val="clear" w:fill="FFFFFF"/>
        <w:bidi w:val="0"/>
        <w:jc w:val="both"/>
        <w:rPr>
          <w:rFonts w:hint="eastAsia"/>
          <w:lang w:val="en-US" w:eastAsia="zh-CN"/>
        </w:rPr>
      </w:pPr>
      <w:r>
        <w:rPr>
          <w:rFonts w:hint="eastAsia"/>
          <w:lang w:val="en-US" w:eastAsia="zh-CN"/>
        </w:rPr>
        <w:t>3. 梳理所有费用项目对应的合同条款，标注是否可能与年度服务费重叠。</w:t>
      </w:r>
    </w:p>
    <w:p w14:paraId="1D65ACC8">
      <w:pPr>
        <w:pStyle w:val="165"/>
        <w:shd w:val="clear" w:fill="FFFFFF"/>
        <w:bidi w:val="0"/>
        <w:jc w:val="both"/>
        <w:rPr>
          <w:rFonts w:hint="eastAsia"/>
          <w:lang w:val="en-US" w:eastAsia="zh-CN"/>
        </w:rPr>
      </w:pPr>
      <w:r>
        <w:rPr>
          <w:rFonts w:hint="eastAsia"/>
          <w:lang w:val="en-US" w:eastAsia="zh-CN"/>
        </w:rPr>
        <w:t>4. 建立款项编号规则，使每笔付款均可对应合同、审批、发票、入库或服务成果。</w:t>
      </w:r>
    </w:p>
    <w:p w14:paraId="4F4C16A8">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二、中期专项核查</w:t>
      </w:r>
    </w:p>
    <w:p w14:paraId="59900125">
      <w:pPr>
        <w:pStyle w:val="165"/>
        <w:shd w:val="clear" w:fill="FFFFFF"/>
        <w:bidi w:val="0"/>
        <w:jc w:val="both"/>
        <w:rPr>
          <w:rFonts w:hint="default"/>
          <w:lang w:eastAsia="zh-CN"/>
        </w:rPr>
      </w:pPr>
      <w:r>
        <w:rPr>
          <w:rFonts w:hint="default"/>
          <w:lang w:eastAsia="zh-CN"/>
        </w:rPr>
        <w:t>建议由第三方财务人员对2024年12月至2025年9月期间的资金流水进行专项核查，重点关注单笔</w:t>
      </w:r>
      <w:r>
        <w:rPr>
          <w:rFonts w:hint="default"/>
          <w:b/>
          <w:bCs w:val="0"/>
          <w:lang w:eastAsia="zh-CN"/>
        </w:rPr>
        <w:t>20万元</w:t>
      </w:r>
      <w:r>
        <w:rPr>
          <w:rFonts w:hint="default"/>
          <w:lang w:eastAsia="zh-CN"/>
        </w:rPr>
        <w:t>以上付款、跨月未回流平台收入、重复费用项目和内部调拨款。</w:t>
      </w:r>
    </w:p>
    <w:p w14:paraId="637CE028">
      <w:pPr>
        <w:pStyle w:val="165"/>
        <w:shd w:val="clear" w:fill="FFFFFF"/>
        <w:bidi w:val="0"/>
        <w:jc w:val="both"/>
      </w:pPr>
      <w:r>
        <w:rPr>
          <w:rFonts w:hint="default"/>
          <w:lang w:eastAsia="zh-CN"/>
        </w:rPr>
        <w:t>专项核查报告应同时输出三项成果：一是资金流向图；二是异常款项明细表；三是责任主体及后续整改清单。</w:t>
      </w:r>
    </w:p>
    <w:p w14:paraId="54367A6F">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三、后续沟通提纲</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4422"/>
        <w:gridCol w:w="2948"/>
      </w:tblGrid>
      <w:tr w14:paraId="6FF1BB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jc w:val="center"/>
        </w:trPr>
        <w:tc>
          <w:tcPr>
            <w:tcW w:w="1701" w:type="dxa"/>
            <w:tcBorders>
              <w:bottom w:val="single" w:color="auto" w:sz="4" w:space="0"/>
              <w:tl2br w:val="nil"/>
              <w:tr2bl w:val="nil"/>
            </w:tcBorders>
            <w:shd w:val="clear" w:color="auto" w:fill="D9E2F3"/>
            <w:vAlign w:val="center"/>
          </w:tcPr>
          <w:p w14:paraId="4739928E">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议题</w:t>
            </w:r>
          </w:p>
        </w:tc>
        <w:tc>
          <w:tcPr>
            <w:tcW w:w="4422" w:type="dxa"/>
            <w:tcBorders>
              <w:bottom w:val="single" w:color="auto" w:sz="4" w:space="0"/>
              <w:tl2br w:val="nil"/>
              <w:tr2bl w:val="nil"/>
            </w:tcBorders>
            <w:shd w:val="clear" w:color="auto" w:fill="D9E2F3"/>
            <w:vAlign w:val="center"/>
          </w:tcPr>
          <w:p w14:paraId="45A595C1">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拟沟通事项</w:t>
            </w:r>
          </w:p>
        </w:tc>
        <w:tc>
          <w:tcPr>
            <w:tcW w:w="2948" w:type="dxa"/>
            <w:tcBorders>
              <w:bottom w:val="single" w:color="auto" w:sz="4" w:space="0"/>
              <w:tl2br w:val="nil"/>
              <w:tr2bl w:val="nil"/>
            </w:tcBorders>
            <w:shd w:val="clear" w:color="auto" w:fill="D9E2F3"/>
            <w:vAlign w:val="center"/>
          </w:tcPr>
          <w:p w14:paraId="38D31EDE">
            <w:pPr>
              <w:pStyle w:val="166"/>
              <w:widowControl w:val="0"/>
              <w:bidi w:val="0"/>
              <w:spacing w:after="0" w:line="240" w:lineRule="auto"/>
              <w:rPr>
                <w:rFonts w:hint="eastAsia" w:eastAsiaTheme="minorEastAsia"/>
                <w:kern w:val="2"/>
                <w:szCs w:val="24"/>
                <w:lang w:val="en-US" w:eastAsia="zh-CN"/>
              </w:rPr>
            </w:pPr>
            <w:r>
              <w:rPr>
                <w:rFonts w:hint="eastAsia" w:eastAsiaTheme="minorEastAsia"/>
                <w:b/>
                <w:bCs/>
                <w:kern w:val="2"/>
                <w:szCs w:val="24"/>
                <w:lang w:val="en-US" w:eastAsia="zh-CN"/>
              </w:rPr>
              <w:t>目标结果</w:t>
            </w:r>
          </w:p>
        </w:tc>
      </w:tr>
      <w:tr w14:paraId="41A7CF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tcBorders>
            <w:vAlign w:val="center"/>
          </w:tcPr>
          <w:p w14:paraId="1E3A1D5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采购预付款</w:t>
            </w:r>
          </w:p>
        </w:tc>
        <w:tc>
          <w:tcPr>
            <w:tcW w:w="4422" w:type="dxa"/>
            <w:tcBorders>
              <w:top w:val="single" w:color="auto" w:sz="4" w:space="0"/>
            </w:tcBorders>
            <w:vAlign w:val="center"/>
          </w:tcPr>
          <w:p w14:paraId="764B11C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确认286万元余额对应的商品、订单及后续冲抵计划</w:t>
            </w:r>
          </w:p>
        </w:tc>
        <w:tc>
          <w:tcPr>
            <w:tcW w:w="2948" w:type="dxa"/>
            <w:tcBorders>
              <w:top w:val="single" w:color="auto" w:sz="4" w:space="0"/>
            </w:tcBorders>
            <w:vAlign w:val="center"/>
          </w:tcPr>
          <w:p w14:paraId="67115DA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形成供应商确认函或退款安排</w:t>
            </w:r>
          </w:p>
        </w:tc>
      </w:tr>
      <w:tr w14:paraId="3A2C6F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14:paraId="53F385A5">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平台销售款</w:t>
            </w:r>
          </w:p>
        </w:tc>
        <w:tc>
          <w:tcPr>
            <w:tcW w:w="4422" w:type="dxa"/>
            <w:tcBorders>
              <w:tl2br w:val="nil"/>
              <w:tr2bl w:val="nil"/>
            </w:tcBorders>
            <w:vAlign w:val="center"/>
          </w:tcPr>
          <w:p w14:paraId="5554B0F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确认142万元差异的订单来源、扣费及回款日期</w:t>
            </w:r>
          </w:p>
        </w:tc>
        <w:tc>
          <w:tcPr>
            <w:tcW w:w="2948" w:type="dxa"/>
            <w:tcBorders>
              <w:tl2br w:val="nil"/>
              <w:tr2bl w:val="nil"/>
            </w:tcBorders>
            <w:vAlign w:val="center"/>
          </w:tcPr>
          <w:p w14:paraId="60DEF76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形成月度平台对账表</w:t>
            </w:r>
          </w:p>
        </w:tc>
      </w:tr>
      <w:tr w14:paraId="383768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14:paraId="08D73751">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服务费用</w:t>
            </w:r>
          </w:p>
        </w:tc>
        <w:tc>
          <w:tcPr>
            <w:tcW w:w="4422" w:type="dxa"/>
            <w:tcBorders>
              <w:tl2br w:val="nil"/>
              <w:tr2bl w:val="nil"/>
            </w:tcBorders>
            <w:vAlign w:val="center"/>
          </w:tcPr>
          <w:p w14:paraId="00AE4B66">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说明68万元拆分费用的合同依据和实际成果</w:t>
            </w:r>
          </w:p>
        </w:tc>
        <w:tc>
          <w:tcPr>
            <w:tcW w:w="2948" w:type="dxa"/>
            <w:tcBorders>
              <w:tl2br w:val="nil"/>
              <w:tr2bl w:val="nil"/>
            </w:tcBorders>
            <w:vAlign w:val="center"/>
          </w:tcPr>
          <w:p w14:paraId="70D5C40E">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确认是否抵扣或退回</w:t>
            </w:r>
          </w:p>
        </w:tc>
      </w:tr>
      <w:tr w14:paraId="6FF68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14:paraId="488DB34F">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内部调拨</w:t>
            </w:r>
          </w:p>
        </w:tc>
        <w:tc>
          <w:tcPr>
            <w:tcW w:w="4422" w:type="dxa"/>
            <w:tcBorders>
              <w:tl2br w:val="nil"/>
              <w:tr2bl w:val="nil"/>
            </w:tcBorders>
            <w:vAlign w:val="center"/>
          </w:tcPr>
          <w:p w14:paraId="7A26E4E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说明180万元款项用途、期限及闭环文件</w:t>
            </w:r>
          </w:p>
        </w:tc>
        <w:tc>
          <w:tcPr>
            <w:tcW w:w="2948" w:type="dxa"/>
            <w:tcBorders>
              <w:tl2br w:val="nil"/>
              <w:tr2bl w:val="nil"/>
            </w:tcBorders>
            <w:vAlign w:val="center"/>
          </w:tcPr>
          <w:p w14:paraId="07FF544A">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形成还款或费用确认安排</w:t>
            </w:r>
          </w:p>
        </w:tc>
      </w:tr>
      <w:tr w14:paraId="420051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14:paraId="2DF699C0">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财务权限</w:t>
            </w:r>
          </w:p>
        </w:tc>
        <w:tc>
          <w:tcPr>
            <w:tcW w:w="4422" w:type="dxa"/>
            <w:tcBorders>
              <w:tl2br w:val="nil"/>
              <w:tr2bl w:val="nil"/>
            </w:tcBorders>
            <w:vAlign w:val="center"/>
          </w:tcPr>
          <w:p w14:paraId="57E7A98C">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建立双人复核、限额审批和资料共享制度</w:t>
            </w:r>
          </w:p>
        </w:tc>
        <w:tc>
          <w:tcPr>
            <w:tcW w:w="2948" w:type="dxa"/>
            <w:tcBorders>
              <w:tl2br w:val="nil"/>
              <w:tr2bl w:val="nil"/>
            </w:tcBorders>
            <w:vAlign w:val="center"/>
          </w:tcPr>
          <w:p w14:paraId="6A2DEB43">
            <w:pPr>
              <w:pStyle w:val="166"/>
              <w:widowControl w:val="0"/>
              <w:bidi w:val="0"/>
              <w:spacing w:after="0" w:line="240" w:lineRule="auto"/>
              <w:rPr>
                <w:rFonts w:hint="eastAsia" w:eastAsiaTheme="minorEastAsia"/>
                <w:kern w:val="2"/>
                <w:szCs w:val="24"/>
                <w:lang w:val="en-US" w:eastAsia="zh-CN"/>
              </w:rPr>
            </w:pPr>
            <w:r>
              <w:rPr>
                <w:rFonts w:hint="eastAsia" w:eastAsiaTheme="minorEastAsia"/>
                <w:kern w:val="2"/>
                <w:szCs w:val="24"/>
                <w:lang w:val="en-US" w:eastAsia="zh-CN"/>
              </w:rPr>
              <w:t>形成书面管理办法</w:t>
            </w:r>
          </w:p>
        </w:tc>
      </w:tr>
    </w:tbl>
    <w:p w14:paraId="49F9484A">
      <w:pPr>
        <w:spacing w:after="40"/>
      </w:pPr>
    </w:p>
    <w:p w14:paraId="638E3482">
      <w:pPr>
        <w:pStyle w:val="4"/>
        <w:keepNext w:val="0"/>
        <w:keepLines w:val="0"/>
        <w:widowControl w:val="0"/>
        <w:bidi w:val="0"/>
        <w:spacing w:before="0" w:beforeAutospacing="0" w:afterAutospacing="0" w:line="360" w:lineRule="auto"/>
        <w:jc w:val="left"/>
        <w:rPr>
          <w:rFonts w:hint="default" w:ascii="黑体" w:hAnsi="黑体" w:eastAsia="黑体" w:cs="宋体"/>
          <w:kern w:val="0"/>
          <w:sz w:val="28"/>
          <w:szCs w:val="36"/>
          <w:lang w:eastAsia="zh-CN" w:bidi="ar"/>
        </w:rPr>
      </w:pPr>
      <w:r>
        <w:rPr>
          <w:rFonts w:hint="default" w:ascii="黑体" w:hAnsi="黑体" w:eastAsia="黑体" w:cs="宋体"/>
          <w:kern w:val="0"/>
          <w:sz w:val="28"/>
          <w:szCs w:val="36"/>
          <w:lang w:eastAsia="zh-CN" w:bidi="ar"/>
        </w:rPr>
        <w:t>四、阶段性结语</w:t>
      </w:r>
    </w:p>
    <w:p w14:paraId="0E32E237">
      <w:pPr>
        <w:pStyle w:val="165"/>
        <w:shd w:val="clear" w:fill="FFFFFF"/>
        <w:bidi w:val="0"/>
        <w:jc w:val="both"/>
        <w:rPr>
          <w:rFonts w:hint="default"/>
          <w:lang w:eastAsia="zh-CN"/>
        </w:rPr>
      </w:pPr>
      <w:r>
        <w:rPr>
          <w:rFonts w:hint="default"/>
          <w:lang w:eastAsia="zh-CN"/>
        </w:rPr>
        <w:t>本材料的核心目的，是将分散在流水、对账单、费用凭证和沟通记录中的异常事项，整理成一套可核查、可沟通、可审计的结构化文本。后续工作不宜只围绕单笔款项争执，而应围绕账户权限、结算规则和资料闭环建立系统化整改。</w:t>
      </w:r>
    </w:p>
    <w:p w14:paraId="3829CA07">
      <w:pPr>
        <w:pStyle w:val="165"/>
        <w:shd w:val="clear" w:fill="FFFFFF"/>
        <w:bidi w:val="0"/>
        <w:jc w:val="both"/>
        <w:rPr>
          <w:rFonts w:hint="default"/>
          <w:lang w:eastAsia="zh-CN"/>
        </w:rPr>
      </w:pPr>
      <w:r>
        <w:rPr>
          <w:rFonts w:hint="default"/>
          <w:lang w:eastAsia="zh-CN"/>
        </w:rPr>
        <w:t>如相关主体能够完整提供资料并完成款项冲抵或返还，项目仍可通过调整流程继续运营；如拒绝配合，则应尽快通过书面函件、专项审计和法律程序固定证据，避免异常款项继续扩大。</w:t>
      </w:r>
    </w:p>
    <w:sectPr>
      <w:footerReference r:id="rId5" w:type="default"/>
      <w:pgSz w:w="11906" w:h="16838"/>
      <w:pgMar w:top="1134" w:right="1417" w:bottom="1134" w:left="141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5EC8E">
    <w:pPr>
      <w:pStyle w:val="24"/>
      <w:spacing w:before="0" w:after="0"/>
      <w:jc w:val="center"/>
    </w:pPr>
    <w:r>
      <w:rPr>
        <w:rFonts w:ascii="Times New Roman" w:hAnsi="Times New Roman" w:eastAsia="宋体"/>
        <w:sz w:val="18"/>
      </w:rPr>
      <w:t xml:space="preserve">第 </w:t>
    </w:r>
    <w:r>
      <w:fldChar w:fldCharType="begin"/>
    </w:r>
    <w:r>
      <w:instrText xml:space="preserve">PAGE</w:instrText>
    </w:r>
    <w:r>
      <w:fldChar w:fldCharType="separate"/>
    </w:r>
    <w:r>
      <w:t>1</w:t>
    </w:r>
    <w:r>
      <w:fldChar w:fldCharType="end"/>
    </w:r>
    <w:r>
      <w:rPr>
        <w:rFonts w:ascii="Times New Roman" w:hAnsi="Times New Roman" w:eastAsia="宋体"/>
        <w:sz w:val="18"/>
      </w:rPr>
      <w:t xml:space="preserve"> 页 共 </w:t>
    </w:r>
    <w:r>
      <w:fldChar w:fldCharType="begin"/>
    </w:r>
    <w:r>
      <w:instrText xml:space="preserve">NUMPAGES</w:instrText>
    </w:r>
    <w:r>
      <w:fldChar w:fldCharType="separate"/>
    </w:r>
    <w:r>
      <w:t>1</w:t>
    </w:r>
    <w:r>
      <w:fldChar w:fldCharType="end"/>
    </w:r>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3371F"/>
    <w:rsid w:val="35DE0910"/>
    <w:rsid w:val="3D771200"/>
    <w:rsid w:val="521A6FC1"/>
    <w:rsid w:val="770277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正文1"/>
    <w:basedOn w:val="1"/>
    <w:next w:val="1"/>
    <w:qFormat/>
    <w:uiPriority w:val="0"/>
    <w:pPr>
      <w:widowControl/>
      <w:shd w:val="clear" w:fill="FFFFFF"/>
      <w:spacing w:before="50" w:beforeLines="50" w:after="50" w:afterLines="50" w:line="360" w:lineRule="auto"/>
      <w:ind w:firstLine="482" w:firstLineChars="200"/>
      <w:outlineLvl w:val="9"/>
    </w:pPr>
    <w:rPr>
      <w:rFonts w:hint="eastAsia" w:ascii="Times New Roman" w:hAnsi="Times New Roman" w:eastAsia="宋体" w:cs="黑体"/>
      <w:bCs/>
      <w:color w:val="0F1115"/>
      <w:kern w:val="44"/>
      <w:sz w:val="24"/>
      <w:szCs w:val="30"/>
      <w:shd w:val="clear" w:fill="FFFFFF"/>
    </w:rPr>
  </w:style>
  <w:style w:type="paragraph" w:customStyle="1" w:styleId="166">
    <w:name w:val="表格"/>
    <w:basedOn w:val="1"/>
    <w:qFormat/>
    <w:uiPriority w:val="0"/>
    <w:pPr>
      <w:jc w:val="center"/>
    </w:pPr>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
  <Pages>12</Pages>
  <Words>1353</Words>
  <Characters>1381</Characters>
  <Lines>0</Lines>
  <Paragraphs>0</Paragraphs>
  <TotalTime>5</TotalTime>
  <ScaleCrop>false</ScaleCrop>
  <LinksUpToDate>false</LinksUpToDate>
  <CharactersWithSpaces>1406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