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2188F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华中区域零售项目经营资金异常及现金流风险</w:t>
      </w:r>
    </w:p>
    <w:p w14:paraId="5D134609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专项核查报告</w:t>
      </w:r>
    </w:p>
    <w:p w14:paraId="7A5B2464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</w:p>
    <w:p w14:paraId="689E8D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一、基本概况</w:t>
      </w:r>
    </w:p>
    <w:p w14:paraId="102ECDF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（一）项目概况</w:t>
      </w:r>
    </w:p>
    <w:p w14:paraId="17B0A3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华中区域零售项目于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2025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年正式启动，定位为服务周边社区的综合线下零售门店，同步开通线上销售渠道。项目采用多方合作运营模式，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远艘零售项目部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为项目主体及实际经营方，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华梅商业运营有限公司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承担项目运营管理职责，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云囍供应链有限公司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负责仓储物流协同，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嘉笔数字商贸有限公司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为线上平台代运营方，安莫管理咨询中心提供财务协查支撑。</w:t>
      </w:r>
    </w:p>
    <w:p w14:paraId="553118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合作初始约定：运营方负责商品采购、供应链对接、门店运营及费用核算；投资方负责启动资金投入、本地门店日常管理与经营协调；项目以月度对账为基准，实现采购、入库、销售、回款、费用结算闭环运营。</w:t>
      </w:r>
    </w:p>
    <w:p w14:paraId="3F7BA4F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（二）核查范围与依据</w:t>
      </w:r>
    </w:p>
    <w:p w14:paraId="2AFDF6B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核查范围</w:t>
      </w:r>
      <w:r>
        <w:rPr>
          <w:color w:val="000000"/>
          <w:sz w:val="24"/>
          <w:szCs w:val="24"/>
          <w:bdr w:val="none" w:color="auto" w:sz="0" w:space="0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2025 </w:t>
      </w:r>
      <w:r>
        <w:rPr>
          <w:color w:val="000000"/>
          <w:sz w:val="24"/>
          <w:szCs w:val="24"/>
          <w:bdr w:val="none" w:color="auto" w:sz="0" w:space="0"/>
        </w:rPr>
        <w:t xml:space="preserve">年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color w:val="000000"/>
          <w:sz w:val="24"/>
          <w:szCs w:val="24"/>
          <w:bdr w:val="none" w:color="auto" w:sz="0" w:space="0"/>
        </w:rPr>
        <w:t xml:space="preserve"> 月 -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11 </w:t>
      </w:r>
      <w:r>
        <w:rPr>
          <w:color w:val="000000"/>
          <w:sz w:val="24"/>
          <w:szCs w:val="24"/>
          <w:bdr w:val="none" w:color="auto" w:sz="0" w:space="0"/>
        </w:rPr>
        <w:t>月项目资金收支、预付款项、平台结算、物流费用、运营服务费、内部资金调拨、库存占用及费用分摊等全流程业务。</w:t>
      </w:r>
    </w:p>
    <w:p w14:paraId="5C0F932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核查依据</w:t>
      </w:r>
      <w:r>
        <w:rPr>
          <w:color w:val="000000"/>
          <w:sz w:val="24"/>
          <w:szCs w:val="24"/>
          <w:bdr w:val="none" w:color="auto" w:sz="0" w:space="0"/>
        </w:rPr>
        <w:t>：项目运营台账、往来对账记录、月度运营报表、资金流转单据、合作沟通资料、库存统计数据表及各方业务协同记录。</w:t>
      </w:r>
    </w:p>
    <w:p w14:paraId="77FEB71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核查说明</w:t>
      </w:r>
      <w:r>
        <w:rPr>
          <w:color w:val="000000"/>
          <w:sz w:val="24"/>
          <w:szCs w:val="24"/>
          <w:bdr w:val="none" w:color="auto" w:sz="0" w:space="0"/>
        </w:rPr>
        <w:t>：本次核查为阶段性事实梳理，部分原始凭证尚待补充核验，暂不作最终责任定性，仅客观列明资金异常线索、核查发现问题、经营影响及风险处置建议。</w:t>
      </w:r>
    </w:p>
    <w:p w14:paraId="0A9BF1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二、关联合作主体及职责边界</w:t>
      </w:r>
    </w:p>
    <w:p w14:paraId="1F2595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本次项目涉及五家核心关联主体，各主体业务职能交叉、数据各自留存，未建立统一对账口径，存在职责边界模糊、数据信息不同步问题，具体如下：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1500"/>
        <w:gridCol w:w="1047"/>
        <w:gridCol w:w="2759"/>
        <w:gridCol w:w="2646"/>
      </w:tblGrid>
      <w:tr w14:paraId="0F057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DE7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D2D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合作主体名称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2EC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核心角色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029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E09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现存问题</w:t>
            </w:r>
          </w:p>
        </w:tc>
      </w:tr>
      <w:tr w14:paraId="7FBA9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single" w:color="000000" w:themeColor="text1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CB4B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000000" w:themeColor="text1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200A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华梅商业运营有限公司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000000" w:themeColor="text1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BF2E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项目运营方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000000" w:themeColor="text1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8B48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采购计划制定、门店运营指导、费用核算分摊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000000" w:themeColor="text1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8E55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主导采购与费用列支，费用科目划分不清</w:t>
            </w:r>
          </w:p>
        </w:tc>
      </w:tr>
      <w:tr w14:paraId="069D1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D58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27AB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云囍供应链有限公司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E587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物流协同方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76D8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仓储配送、到货协调、供应商对接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19A7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物流单据、配送回单留存不完整</w:t>
            </w:r>
          </w:p>
        </w:tc>
      </w:tr>
      <w:tr w14:paraId="69975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7D6D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5C3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嘉笔数字商贸有限公司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B78A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平台代运营方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2310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线上渠道运营、订单收款、平台结算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FACF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代收销售收入，回款结算周期随意延后</w:t>
            </w:r>
          </w:p>
        </w:tc>
      </w:tr>
      <w:tr w14:paraId="4EB5C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056F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2BFF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远艘零售项目部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4578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项目主体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156D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门店经营、本地管理、经营资料归集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5A2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关键业务数据依赖外部主体，资金管控偏弱</w:t>
            </w:r>
          </w:p>
        </w:tc>
      </w:tr>
      <w:tr w14:paraId="653A2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2D5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7B8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安莫管理咨询中心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483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财务协查方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1C69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台账整理、往来对账、费用科目梳理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09C1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仅协助资料整理，无最终审批决策权</w:t>
            </w:r>
          </w:p>
        </w:tc>
      </w:tr>
    </w:tbl>
    <w:p w14:paraId="403014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三、专项核查发现资金异常事项经比对</w:t>
      </w:r>
    </w:p>
    <w:p w14:paraId="12BAB0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账户流水、采购台账、平台结算记录及内部往来数据，项目存在提前预付账款、平台收入回流滞后、运营服务费重复计费、费用分摊依据不足、内部资金调拨待核、业务单据缺失六大类异常，涉及多笔大额资金往来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1200"/>
        <w:gridCol w:w="1589"/>
        <w:gridCol w:w="4461"/>
      </w:tblGrid>
      <w:tr w14:paraId="6272B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16FB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发生时间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6ACE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业务类型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0F22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涉及金额（万元）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B85F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异常核心问题</w:t>
            </w:r>
          </w:p>
        </w:tc>
      </w:tr>
      <w:tr w14:paraId="09419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7ABD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2AD2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开办筹备款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BAD6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1E6E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门店筹建及系统接入支出，明细凭证资料缺失待补</w:t>
            </w:r>
          </w:p>
        </w:tc>
      </w:tr>
      <w:tr w14:paraId="3FD5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A9D9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2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E314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供应链预付款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9A4D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6DB7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提前大额预付货款，付款进度与货物交付、入库验收不匹配</w:t>
            </w:r>
          </w:p>
        </w:tc>
      </w:tr>
      <w:tr w14:paraId="372EB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D5B1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8E0E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平台结算挂账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7F31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1E10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线上订单收入滞留平台账户，未按约定回流项目主体，长期挂账</w:t>
            </w:r>
          </w:p>
        </w:tc>
      </w:tr>
      <w:tr w14:paraId="3A206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7134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7524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物流代垫费用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9652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A5ED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物流配送回单、费用分摊依据留存不完整，无法核验真实性</w:t>
            </w:r>
          </w:p>
        </w:tc>
      </w:tr>
      <w:tr w14:paraId="50690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1CA5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85F2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运营服务费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E30F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2950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固定管理费与订单服务费重复计提、重复计费</w:t>
            </w:r>
          </w:p>
        </w:tc>
      </w:tr>
      <w:tr w14:paraId="0E253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6990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5D61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促销费用分摊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ED0C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878F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费用归属期间与营销活动确认资料不一致，跨期列支</w:t>
            </w:r>
          </w:p>
        </w:tc>
      </w:tr>
      <w:tr w14:paraId="17F7F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1EC7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4116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内部资金调拨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49CB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25D8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内部账户周转调拨用途不明，资金流向及业务背景待核验</w:t>
            </w:r>
          </w:p>
        </w:tc>
      </w:tr>
    </w:tbl>
    <w:p w14:paraId="733E926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（一）</w:t>
      </w:r>
      <w:r>
        <w:rPr>
          <w:color w:val="000000"/>
          <w:sz w:val="24"/>
          <w:szCs w:val="24"/>
          <w:lang w:val="en-US" w:eastAsia="zh-CN"/>
        </w:rPr>
        <w:t>预付款提前支付</w:t>
      </w:r>
    </w:p>
    <w:p w14:paraId="111896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大额资金无效占用项目启动阶段以锁定货源、开业铺货为由大额预付供应链款项，未严格执行合同 - 订单 - 入库 - 验收 - 付款闭环流程。部分款项在货物未交付、未验收前提下提前支付，后续到货批次、商品品类、结算发票未能及时闭环，造成账面预付款余额居高不下。 该问题直接挤占项目流动资金，影响门店日常补货、人员薪酬及营销活动投放，滞销商品叠加预付占用，进一步放大资金沉淀风险。</w:t>
      </w:r>
    </w:p>
    <w:p w14:paraId="3053B99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（二）</w:t>
      </w:r>
      <w:r>
        <w:rPr>
          <w:color w:val="000000"/>
          <w:sz w:val="24"/>
          <w:szCs w:val="24"/>
          <w:lang w:val="en-US" w:eastAsia="zh-CN"/>
        </w:rPr>
        <w:t>线上平台收入回流滞后</w:t>
      </w:r>
    </w:p>
    <w:p w14:paraId="32D1BD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长期挂账线上销售收入统一由嘉笔数字商贸代收，未按合作约定及时划转至项目主体账户。项目主体无法同步获取订单明细、退款记录、平台扣点及结算凭证，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118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万元平台结算款形成长期往来挂账。 造成门店前端有实际销售业绩，但项目经营账户无实际现金流入，销售数据与现金流严重背离，误导采购规模、库存周转及盈利测算判断。</w:t>
      </w:r>
    </w:p>
    <w:p w14:paraId="7B697E4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（三）</w:t>
      </w:r>
      <w:r>
        <w:rPr>
          <w:color w:val="000000"/>
          <w:sz w:val="24"/>
          <w:szCs w:val="24"/>
          <w:lang w:val="en-US" w:eastAsia="zh-CN"/>
        </w:rPr>
        <w:t>运营服务费重复计费</w:t>
      </w:r>
    </w:p>
    <w:p w14:paraId="5E09DD1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费用边界混乱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 xml:space="preserve">76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万元运营服务费存在双重计费问题，既列支固定管理服务费，又在订单服务、系统支持、促销协同科目重复分摊计费。未明确区分基础服务、增值服务、实际垫付及内部管理成本，导致项目成本虚高、利润核算失真。</w:t>
      </w:r>
    </w:p>
    <w:p w14:paraId="36BDFF2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（四）</w:t>
      </w:r>
      <w:r>
        <w:rPr>
          <w:color w:val="000000"/>
          <w:sz w:val="24"/>
          <w:szCs w:val="24"/>
          <w:lang w:val="en-US" w:eastAsia="zh-CN"/>
        </w:rPr>
        <w:t>费用分摊及单据管理缺失</w:t>
      </w:r>
    </w:p>
    <w:p w14:paraId="1115F0B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核查溯源困难物流代垫费、促销分摊费存在支撑资料不全、归属期间错位问题；采购、结算、费用审批、资金调拨等关键环节，部分回单、结算单、审批记录未同步归档。各方台账费用名称、金额口径、确认时间不统一，加大账务核对与责任追溯难度。</w:t>
      </w:r>
    </w:p>
    <w:p w14:paraId="56ADB2C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（五）</w:t>
      </w:r>
      <w:r>
        <w:rPr>
          <w:color w:val="000000"/>
          <w:sz w:val="24"/>
          <w:szCs w:val="24"/>
          <w:lang w:val="en-US" w:eastAsia="zh-CN"/>
        </w:rPr>
        <w:t>内部资金调拨用途不明</w:t>
      </w:r>
    </w:p>
    <w:p w14:paraId="4694872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资金流向失控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2025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年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 xml:space="preserve">8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月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 xml:space="preserve">210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万元内部账户资金调拨无完整业务说明、审批依据及用途佐证，内部周转缺乏书面授权及流程留痕，资金使用合规性、真实性待专项核验。</w:t>
      </w:r>
    </w:p>
    <w:p w14:paraId="31B47A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四、业务执行流程偏离及成因分析</w:t>
      </w:r>
    </w:p>
    <w:p w14:paraId="008549E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（一）原约定标准流程合作初期约定实行月度对账制</w:t>
      </w:r>
    </w:p>
    <w:p w14:paraId="6E97E46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运营方提采购计划→项目主体预算审核→供应链发货入库→门店销售记账→凭验收单、回款记录、发票资料统一结算付款，实现全业务闭环管控。</w:t>
      </w:r>
    </w:p>
    <w:p w14:paraId="0BE321A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（二）实际执行流程偏离 </w:t>
      </w:r>
    </w:p>
    <w:p w14:paraId="6EE8F53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采购付款前置化：未完成到货验收即提前付款，资金支出早于业务实质落地； 收款账户体外化：线上收入由第三方代收，脱离项目主体资金管控； 费用分摊随意化：无统一分摊规则及明细依据，重复列支、跨期列支频发； 资料归档碎片化：合同、订单、票据、审批单据未同步归档留存。 </w:t>
      </w:r>
    </w:p>
    <w:p w14:paraId="2AA70BF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 xml:space="preserve">（三）核心成因 </w:t>
      </w:r>
    </w:p>
    <w:p w14:paraId="4B95D05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多方合作主体职责交叉，未建立统一对账规则与结算标准； 资金审批管控机制不完善，预付款、代付款、资金调拨缺乏严格复核； 业务、财务、运营数据割裂，信息不同步，资金流向无法实时监控； 缺乏资金共管、固定结算周期等约束机制，第三方代收代付缺乏管控。 </w:t>
      </w:r>
    </w:p>
    <w:p w14:paraId="310965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五、库存占用及现金流压力测算项目高库存叠加资金异常占用</w:t>
      </w:r>
    </w:p>
    <w:p w14:paraId="4686FB5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200" w:right="0" w:rightChars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形成持续性现金流承压，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 xml:space="preserve">2025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年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 xml:space="preserve"> 6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11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月库存规模及资金需求如下：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2087"/>
        <w:gridCol w:w="3046"/>
        <w:gridCol w:w="2651"/>
      </w:tblGrid>
      <w:tr w14:paraId="39C89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3FC6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月份</w:t>
            </w:r>
          </w:p>
        </w:tc>
        <w:tc>
          <w:tcPr>
            <w:tcW w:w="1221" w:type="pct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F94E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库存规模（万元）</w:t>
            </w:r>
          </w:p>
        </w:tc>
        <w:tc>
          <w:tcPr>
            <w:tcW w:w="1782" w:type="pct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1E24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预计周转资金需求（万元）</w:t>
            </w:r>
          </w:p>
        </w:tc>
        <w:tc>
          <w:tcPr>
            <w:tcW w:w="1551" w:type="pct"/>
            <w:tcBorders>
              <w:top w:val="single" w:color="000000" w:themeColor="text1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AD2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风险说明</w:t>
            </w:r>
          </w:p>
        </w:tc>
      </w:tr>
      <w:tr w14:paraId="72A0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E2FC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F1A2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410</w:t>
            </w:r>
          </w:p>
        </w:tc>
        <w:tc>
          <w:tcPr>
            <w:tcW w:w="178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590C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205</w:t>
            </w:r>
          </w:p>
        </w:tc>
        <w:tc>
          <w:tcPr>
            <w:tcW w:w="155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EF43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开业备货偏高，商品周转低于预期</w:t>
            </w:r>
          </w:p>
        </w:tc>
      </w:tr>
      <w:tr w14:paraId="5B5FB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124E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B29B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395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D37F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198</w:t>
            </w:r>
          </w:p>
        </w:tc>
        <w:tc>
          <w:tcPr>
            <w:tcW w:w="155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3B81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库存微降，平台回款未足额归集</w:t>
            </w:r>
          </w:p>
        </w:tc>
      </w:tr>
      <w:tr w14:paraId="458B1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6DDE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E212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382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98BA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191</w:t>
            </w:r>
          </w:p>
        </w:tc>
        <w:tc>
          <w:tcPr>
            <w:tcW w:w="155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7FC7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库存结构调整，滞销品资金占用突出</w:t>
            </w:r>
          </w:p>
        </w:tc>
      </w:tr>
      <w:tr w14:paraId="40129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8F39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17CB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401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40C1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155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FCF7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节前备货增量，采购资金需求骤升</w:t>
            </w:r>
          </w:p>
        </w:tc>
      </w:tr>
      <w:tr w14:paraId="315D2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CFA1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</w:p>
        </w:tc>
        <w:tc>
          <w:tcPr>
            <w:tcW w:w="122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7619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376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46FF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188</w:t>
            </w:r>
          </w:p>
        </w:tc>
        <w:tc>
          <w:tcPr>
            <w:tcW w:w="1551" w:type="pc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196D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促销后库存回落，费用结算未完成</w:t>
            </w:r>
          </w:p>
        </w:tc>
      </w:tr>
      <w:tr w14:paraId="16C6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06C1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</w:p>
        </w:tc>
        <w:tc>
          <w:tcPr>
            <w:tcW w:w="1221" w:type="pct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3D9A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358</w:t>
            </w:r>
          </w:p>
        </w:tc>
        <w:tc>
          <w:tcPr>
            <w:tcW w:w="1782" w:type="pct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1981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179</w:t>
            </w:r>
          </w:p>
        </w:tc>
        <w:tc>
          <w:tcPr>
            <w:tcW w:w="1551" w:type="pct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1588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库存压力缓解，应收挂账仍需清理</w:t>
            </w:r>
          </w:p>
        </w:tc>
      </w:tr>
    </w:tbl>
    <w:p w14:paraId="66AFA3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整体来看，项目库存虽呈缓慢下降趋势，但降幅远低于资金占用改善速度。叠加预付款占用、平台收入挂账、未结算费用列支，项目长期面临有销售业绩、无可用现金流的困境，日常补货、费用支付、经营周转均受到严重制约。</w:t>
      </w:r>
    </w:p>
    <w:p w14:paraId="579239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六、资金异常及现金流风险综合影响</w:t>
      </w:r>
    </w:p>
    <w:p w14:paraId="7FF8432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Style w:val="7"/>
          <w:rFonts w:ascii="Times New Roman" w:hAnsi="Times New Roman" w:eastAsia="宋体" w:cs="Times New Roman"/>
          <w:color w:val="000000"/>
          <w:sz w:val="24"/>
          <w:szCs w:val="24"/>
        </w:rPr>
        <w:t>现金流风险：</w:t>
      </w:r>
      <w:r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  <w:t>大额预付、收入滞留、资金调拨不明导致流动资金被无效占用，短期周转能力弱化，持续经营存在资金断流隐患；</w:t>
      </w:r>
    </w:p>
    <w:p w14:paraId="40565BF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Style w:val="7"/>
          <w:rFonts w:ascii="Times New Roman" w:hAnsi="Times New Roman" w:eastAsia="宋体" w:cs="Times New Roman"/>
          <w:color w:val="000000"/>
          <w:sz w:val="24"/>
          <w:szCs w:val="24"/>
        </w:rPr>
        <w:t>经营核算风险：</w:t>
      </w:r>
      <w:r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  <w:t>重复计费、跨期费用、收入滞后确认，造成成本虚高、利润失真，无法真实反映项目实际经营成果；</w:t>
      </w:r>
    </w:p>
    <w:p w14:paraId="7A4569A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Style w:val="7"/>
          <w:rFonts w:ascii="Times New Roman" w:hAnsi="Times New Roman" w:eastAsia="宋体" w:cs="Times New Roman"/>
          <w:color w:val="000000"/>
          <w:sz w:val="24"/>
          <w:szCs w:val="24"/>
        </w:rPr>
        <w:t>合作协同风险：</w:t>
      </w:r>
      <w:r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  <w:t>多方对账口径不一、资料缺失，易引发费用争议、收益分配纠纷，破坏合作稳定性；</w:t>
      </w:r>
    </w:p>
    <w:p w14:paraId="04469D6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Style w:val="7"/>
          <w:rFonts w:ascii="Times New Roman" w:hAnsi="Times New Roman" w:eastAsia="宋体" w:cs="Times New Roman"/>
          <w:color w:val="000000"/>
          <w:sz w:val="24"/>
          <w:szCs w:val="24"/>
        </w:rPr>
        <w:t>合规审计风险：</w:t>
      </w:r>
      <w:r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  <w:t>资金支付审批依据不足、单据留痕缺失、体外代收资金，后续审计、账务调整及外部核查存在合规隐患。</w:t>
      </w:r>
    </w:p>
    <w:p w14:paraId="1596AA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七、专项核查整改及风险化解建议</w:t>
      </w:r>
    </w:p>
    <w:p w14:paraId="747724E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（一）全面梳理账务，逐笔核验资金往来</w:t>
      </w:r>
    </w:p>
    <w:p w14:paraId="720031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对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2025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年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11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月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85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万开办款、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320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万预付款、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118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万平台挂账、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76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万运营服务费、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210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万资金调拨等大额资金逐笔建档，匹配合同、订单、入库单、发票、审批单据，完成全链条溯源核查。</w:t>
      </w:r>
    </w:p>
    <w:p w14:paraId="0C01EE3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（二）规范平台结算，清收滞留挂账资金</w:t>
      </w:r>
    </w:p>
    <w:p w14:paraId="549558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要求平台代运营方提供完整订单流水、退款明细、扣费凭证及结算台账，明确滞留款项金额及返还时限，建立固定月度结算机制，杜绝收入长期体外滞留。</w:t>
      </w:r>
    </w:p>
    <w:p w14:paraId="0B8BDCF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（三）重构费用科目，清理重复计费项目</w:t>
      </w:r>
    </w:p>
    <w:p w14:paraId="5237B9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对运营服务费、物流费、促销费、系统服务费开展重分类梳理，剔除重复计费、依据不足及跨期列支费用，明确各类服务收费边界与分摊标准。</w:t>
      </w:r>
    </w:p>
    <w:p w14:paraId="7A99D88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（四）建立资金管控机制，实行账户共管</w:t>
      </w:r>
    </w:p>
    <w:p w14:paraId="4C555C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设立项目专用收支共管账户，统一归集线上线下全部营业收入；严格管控预付款、代付款、内部资金调拨，实行书面申请、预算审核、双人复核审批制度。</w:t>
      </w:r>
    </w:p>
    <w:p w14:paraId="5201E48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（五）完善业务流程及资料归档</w:t>
      </w:r>
    </w:p>
    <w:p w14:paraId="30AA2C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恢复订单 - 入库 - 销售 - 回款 - 发票闭环流程，严禁无依据提前付款；统一各方对账口径、费用核算标准；所有业务单据、审批文件、结算凭证同步归档留存。</w:t>
      </w:r>
    </w:p>
    <w:p w14:paraId="008F317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（六）盘活库存及应收，缓解现金流压力</w:t>
      </w:r>
    </w:p>
    <w:p w14:paraId="231E88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梳理滞销库存制定清库促销方案，加快存货周转；专项清理平台挂账、预付款项、待分摊费用，通过账务调整、款项追偿、费用抵扣等方式盘活沉淀资金。</w:t>
      </w:r>
    </w:p>
    <w:p w14:paraId="5B4E57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八、核查结论</w:t>
      </w:r>
    </w:p>
    <w:p w14:paraId="4B2F81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经专项核查，华中区域零售项目存在预付款违规前置、平台收入回流滞后、服务费重复计费、费用分摊无依据、内部资金调拨不明、业务资料留存缺失多项资金异常问题。受上述问题叠加影响，项目库存与资金占用偏高，现金流持续承压，经营核算失真，已形成实质性经营风险与合规风险。</w:t>
      </w:r>
    </w:p>
    <w:p w14:paraId="0699F1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建议立即落实账务核查、挂账清收、费用清理、流程重构及资金共管措施，补齐原始凭证及审批留痕资料；对无法提供合理业务依据的异常款项，纳入专项追偿核查，同步完善长效管控机制，防范后续同类资金异常及现金流风险再度发生。</w:t>
      </w:r>
    </w:p>
    <w:p w14:paraId="2651091A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77B53B67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442413CD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3FCC0D5C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611E27F5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6F92B226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2447E1E2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75D2FCFE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12C6D7FB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621FB56F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19F01CF0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38867780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5ABB0759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</w:p>
    <w:p w14:paraId="45A12D6F">
      <w:pPr>
        <w:jc w:val="righ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核查编制人：林远芝 </w:t>
      </w:r>
    </w:p>
    <w:p w14:paraId="3370E288">
      <w:pPr>
        <w:jc w:val="righ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编制日期：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>2026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年 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月 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>20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BF45B"/>
    <w:multiLevelType w:val="multilevel"/>
    <w:tmpl w:val="CD7BF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99B11B0"/>
    <w:multiLevelType w:val="multilevel"/>
    <w:tmpl w:val="099B1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F37D9"/>
    <w:rsid w:val="794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