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22"/>
        </w:rPr>
        <w:t>法律文件批量风控核查</w:t>
      </w:r>
    </w:p>
    <w:p>
      <w:pPr>
        <w:pStyle w:val="Title"/>
        <w:jc w:val="center"/>
      </w:pPr>
      <w:r>
        <w:t>授权委托书</w:t>
        <w:br/>
        <w:t>风险提示报告</w:t>
      </w:r>
    </w:p>
    <w:p>
      <w:pPr>
        <w:spacing w:after="680"/>
        <w:jc w:val="center"/>
      </w:pPr>
      <w:r>
        <w:rPr>
          <w:rFonts w:ascii="Noto Sans CJK SC" w:hAnsi="Noto Sans CJK SC" w:eastAsia="Noto Sans CJK SC"/>
          <w:b w:val="0"/>
          <w:color w:val="595959"/>
          <w:sz w:val="24"/>
        </w:rPr>
        <w:t>6 份起草稿 · 逐项核查 · 可追溯整改建议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核查依据</w:t>
            </w:r>
          </w:p>
        </w:tc>
        <w:tc>
          <w:tcPr>
            <w:tcW w:type="dxa" w:w="65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《授权委托书风控校验规则》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核查范围</w:t>
            </w:r>
          </w:p>
        </w:tc>
        <w:tc>
          <w:tcPr>
            <w:tcW w:type="dxa" w:w="65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委托书1 至 委托书6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综合分布</w:t>
            </w:r>
          </w:p>
        </w:tc>
        <w:tc>
          <w:tcPr>
            <w:tcW w:type="dxa" w:w="65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高风险 2 份｜中风险 4 份｜低风险 0 份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适用边界</w:t>
            </w:r>
          </w:p>
        </w:tc>
        <w:tc>
          <w:tcPr>
            <w:tcW w:type="dxa" w:w="65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六份均为起草未签署版本；未签署状态不纳入触发项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/>
          <w:b w:val="0"/>
          <w:color w:val="7F7F7F"/>
          <w:sz w:val="18"/>
        </w:rPr>
        <w:t>本报告仅依据所给文件与规则作离线核查，不补造任何外部核验结果。</w:t>
      </w:r>
    </w:p>
    <w:p>
      <w:r>
        <w:br w:type="page"/>
      </w:r>
    </w:p>
    <w:p>
      <w:pPr>
        <w:pStyle w:val="Heading1"/>
      </w:pPr>
      <w:r>
        <w:t>一、核查结论</w:t>
      </w:r>
    </w:p>
    <w:p>
      <w:r>
        <w:rPr>
          <w:b/>
        </w:rPr>
        <w:t>总体判断：</w:t>
      </w:r>
      <w:r>
        <w:t>六份文件均存在中风险或高风险项。委托书4因双方身份证明信息缺失、委托书5因授权范围完全未明确，被判定为高风险；其余四份为中风险。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9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委托人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受托人</w:t>
            </w:r>
          </w:p>
        </w:tc>
        <w:tc>
          <w:tcPr>
            <w:tcW w:type="dxa" w:w="1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项数</w:t>
            </w:r>
          </w:p>
        </w:tc>
        <w:tc>
          <w:tcPr>
            <w:tcW w:type="dxa" w:w="34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重点问题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委托书1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张伟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李芳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中风险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受托人无相应资质；转委托约定缺失；法律责任承担约定缺失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委托书2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陈雪梅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王建国律师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中风险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特别授权范围过宽；转委托约定缺失；法律责任承担约定缺失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委托书3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刘洋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赵明辉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中风险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受托人无相应资质；转委托约定缺失；法律责任承担约定缺失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委托书4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周丽华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孙志强律师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高风险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委托人身份证明缺失；受托人身份证明缺失；转委托约定缺失；法律责任承担约定缺失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委托书5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吴强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黄丽萍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高风险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授权范围完全未明确；受托人无相应资质；转委托约定缺失；法律责任承担约定缺失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委托书6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上海盛宏贸易有限公司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陈明律师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中风险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特别授权范围过宽；转委托约定缺失；法律责任承担约定缺失</w:t>
            </w:r>
          </w:p>
        </w:tc>
      </w:tr>
    </w:tbl>
    <w:p>
      <w:pPr>
        <w:pStyle w:val="Heading1"/>
      </w:pPr>
      <w:r>
        <w:t>二、核查口径</w:t>
      </w:r>
    </w:p>
    <w:p>
      <w:pPr>
        <w:pStyle w:val="ListBullet"/>
        <w:spacing w:after="60"/>
      </w:pPr>
      <w:r>
        <w:t>风险等级按已触发项中的最高等级确定：出现任一高风险项即为高风险；没有高风险但出现中风险项即为中风险。</w:t>
      </w:r>
    </w:p>
    <w:p>
      <w:pPr>
        <w:pStyle w:val="ListBullet"/>
        <w:spacing w:after="60"/>
      </w:pPr>
      <w:r>
        <w:t>逐份核对主体身份、授权范围、期限、转委托、责任承担和形式要件；只把满足给定触发条件的项目列为风险。</w:t>
      </w:r>
    </w:p>
    <w:p>
      <w:pPr>
        <w:pStyle w:val="ListBullet"/>
        <w:spacing w:after="60"/>
      </w:pPr>
      <w:r>
        <w:t>根据原始任务说明，六份均为起草稿，空白签署栏不用于触发本次风险。</w:t>
      </w:r>
    </w:p>
    <w:p>
      <w:pPr>
        <w:pStyle w:val="ListBullet"/>
        <w:spacing w:after="60"/>
      </w:pPr>
      <w:r>
        <w:t>未提供的外部证明、律师数据库或法院材料不作推定；调整意见只针对当前文本可以确认的缺口。</w:t>
      </w:r>
    </w:p>
    <w:p>
      <w:pPr>
        <w:pStyle w:val="Heading1"/>
      </w:pPr>
      <w:r>
        <w:t>三、优先整改顺序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6B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6B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3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6B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委托书4</w:t>
            </w:r>
          </w:p>
        </w:tc>
        <w:tc>
          <w:tcPr>
            <w:tcW w:type="dxa" w:w="53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先补齐委托人与受托人身份证明，再处理转委托和责任条款。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7"/>
              </w:rPr>
              <w:t>P0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委托书5</w:t>
            </w:r>
          </w:p>
        </w:tc>
        <w:tc>
          <w:tcPr>
            <w:tcW w:type="dxa" w:w="53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先把“全权委托”改成明确授权类型和事项，并核实受托人诉讼代理资格。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7"/>
              </w:rPr>
              <w:t>P1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委托书1、3</w:t>
            </w:r>
          </w:p>
        </w:tc>
        <w:tc>
          <w:tcPr>
            <w:tcW w:type="dxa" w:w="53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补充受托人资格证明或更换合格代理人。</w:t>
            </w:r>
          </w:p>
        </w:tc>
      </w:tr>
    </w:tbl>
    <w:p>
      <w:pPr>
        <w:pStyle w:val="Heading1"/>
        <w:keepNext/>
        <w:pageBreakBefore/>
      </w:pPr>
      <w:r>
        <w:t>委托书1｜张伟 → 李芳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房屋租赁合同纠纷｜（2026）京0101民初第0012号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授权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一般授权｜2026年4月30日至2027年4月30日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来源文件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委托书1.docx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22"/>
              </w:rPr>
              <w:t>中风险｜共 3 项</w:t>
            </w:r>
          </w:p>
        </w:tc>
      </w:tr>
    </w:tbl>
    <w:p>
      <w:pPr>
        <w:pStyle w:val="Heading2"/>
      </w:pPr>
      <w:r>
        <w:t>风险明细与调整意见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2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触发证据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风险说明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调整意见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M03｜受托人无相应资质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文件属于诉讼代理；受托人李芳仅列身份证号，未载明律师身份、近亲属关系、单位员工关系或法院许可。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诉讼代理人的法定范围受限。现有文本不能证明李芳具备相应诉讼代理资格，代理行为可能不被法院认可。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补充近亲属、单位员工或法院许可等资格证明；如不符合任一情形，应改由持有效执业证的律师担任受托人。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M07｜转委托约定缺失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全文未说明是否允许受托人转委托，也未约定转委托条件。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受托人能否再次转授权限存在不确定性；未经同意或追认的转委托可能对委托人不发生效力。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增加“未经委托人书面同意不得转委托”；如允许，应写明范围、次数上限和转受托人资质。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M08｜法律责任承担约定缺失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正文未约定越权、不当代理或受托人过错造成损失时的责任归属。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发生越权或不当代理后，委托人与受托人之间缺少明确的责任分配依据，增加追责难度。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补充受托人越权行为责任，以及因故意或重大过失造成损失时承担赔偿责任的条款。</w:t>
            </w:r>
          </w:p>
        </w:tc>
      </w:tr>
    </w:tbl>
    <w:p>
      <w:pPr>
        <w:spacing w:before="120"/>
      </w:pPr>
      <w:r>
        <w:rPr>
          <w:rFonts w:ascii="Noto Sans CJK SC" w:hAnsi="Noto Sans CJK SC" w:eastAsia="Noto Sans CJK SC"/>
          <w:b/>
          <w:color w:val="0F6B78"/>
          <w:sz w:val="17"/>
        </w:rPr>
        <w:t>核查边界｜</w:t>
      </w:r>
      <w:r>
        <w:rPr>
          <w:rFonts w:ascii="Noto Sans CJK SC" w:hAnsi="Noto Sans CJK SC" w:eastAsia="Noto Sans CJK SC"/>
          <w:b w:val="0"/>
          <w:color w:val="595959"/>
          <w:sz w:val="17"/>
        </w:rPr>
        <w:t>本节只列给定规则下实际触发的项目；该文件为起草稿，空白签署栏未纳入风险触发。</w:t>
      </w:r>
    </w:p>
    <w:p>
      <w:pPr>
        <w:pStyle w:val="Heading1"/>
        <w:keepNext/>
        <w:pageBreakBefore/>
      </w:pPr>
      <w:r>
        <w:t>委托书2｜陈雪梅 → 王建国律师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商品房买卖合同纠纷｜（2026）浙0101民初第0588号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授权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特别授权｜2026年5月1日至2027年2月28日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来源文件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委托书2.docx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22"/>
              </w:rPr>
              <w:t>中风险｜共 3 项</w:t>
            </w:r>
          </w:p>
        </w:tc>
      </w:tr>
    </w:tbl>
    <w:p>
      <w:pPr>
        <w:pStyle w:val="Heading2"/>
      </w:pPr>
      <w:r>
        <w:t>风险明细与调整意见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2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触发证据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风险说明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调整意见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M01｜特别授权范围过宽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特别授权事项超过3项，并同时包含代为承认和放弃诉讼请求，还包括变更、和解、签收文书和上诉。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受托人可以直接处分委托人的实体权利，缺少限制时可能作出对委托人不利且难以撤回的决定。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逐项保留确有需要的权限；对承认、放弃、变更和和解增加“须经委托人事前书面确认”的限制。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M07｜转委托约定缺失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全文未说明是否允许转委托，也未约定转委托的范围与条件。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转委托权限不清会造成授权链条和行为效力不确定，可能引发连带纠纷。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明确原则上禁止转委托；确需允许时，限定事项、次数并要求转受托人具备相应律师资质。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M08｜法律责任承担约定缺失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正文没有约定受托人越权、故意或重大过失时的责任承担。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特别授权涉及实体权利处分，缺少责任条款会放大越权或不当代理后的追责风险。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增加授权边界、重大事项确认流程及故意或重大过失造成损失时的赔偿责任。</w:t>
            </w:r>
          </w:p>
        </w:tc>
      </w:tr>
    </w:tbl>
    <w:p>
      <w:pPr>
        <w:spacing w:before="120"/>
      </w:pPr>
      <w:r>
        <w:rPr>
          <w:rFonts w:ascii="Noto Sans CJK SC" w:hAnsi="Noto Sans CJK SC" w:eastAsia="Noto Sans CJK SC"/>
          <w:b/>
          <w:color w:val="0F6B78"/>
          <w:sz w:val="17"/>
        </w:rPr>
        <w:t>核查边界｜</w:t>
      </w:r>
      <w:r>
        <w:rPr>
          <w:rFonts w:ascii="Noto Sans CJK SC" w:hAnsi="Noto Sans CJK SC" w:eastAsia="Noto Sans CJK SC"/>
          <w:b w:val="0"/>
          <w:color w:val="595959"/>
          <w:sz w:val="17"/>
        </w:rPr>
        <w:t>本节只列给定规则下实际触发的项目；该文件为起草稿，空白签署栏未纳入风险触发。</w:t>
      </w:r>
    </w:p>
    <w:p>
      <w:pPr>
        <w:pStyle w:val="Heading1"/>
        <w:keepNext/>
        <w:pageBreakBefore/>
      </w:pPr>
      <w:r>
        <w:t>委托书3｜刘洋 → 赵明辉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劳动争议｜（2023）粤0305民初第1234号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授权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一般授权｜2026年5月1日至2026年5月31日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来源文件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委托书3.docx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22"/>
              </w:rPr>
              <w:t>中风险｜共 3 项</w:t>
            </w:r>
          </w:p>
        </w:tc>
      </w:tr>
    </w:tbl>
    <w:p>
      <w:pPr>
        <w:pStyle w:val="Heading2"/>
      </w:pPr>
      <w:r>
        <w:t>风险明细与调整意见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2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触发证据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风险说明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调整意见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M03｜受托人无相应资质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文件属于诉讼代理；赵明辉只列身份证号，未表明律师、近亲属、单位员工或法院许可身份。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现有文件不能证明受托人属于可担任诉讼代理人的法定范围，可能影响法院对代理资格的认可。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补充符合条件的关系或许可证明；若不能证明，应更换为持有效执业证的律师。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M07｜转委托约定缺失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一般授权条款没有提及是否可以将权限再次转授给第三人。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是否允许转委托及其效力边界不清，容易造成未经同意的二次授权争议。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加入书面同意前置条件；如允许转委托，明确范围、次数和转受托人资质。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M08｜法律责任承担约定缺失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文件未约定受托人行为后果归属或过错责任。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越权或不当代理发生后缺少合同内责任分配依据，委托人追偿成本可能增加。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明确授权内行为后果、越权责任及受托人故意或重大过失造成损失时的赔偿义务。</w:t>
            </w:r>
          </w:p>
        </w:tc>
      </w:tr>
    </w:tbl>
    <w:p>
      <w:pPr>
        <w:spacing w:before="120"/>
      </w:pPr>
      <w:r>
        <w:rPr>
          <w:rFonts w:ascii="Noto Sans CJK SC" w:hAnsi="Noto Sans CJK SC" w:eastAsia="Noto Sans CJK SC"/>
          <w:b/>
          <w:color w:val="0F6B78"/>
          <w:sz w:val="17"/>
        </w:rPr>
        <w:t>核查边界｜</w:t>
      </w:r>
      <w:r>
        <w:rPr>
          <w:rFonts w:ascii="Noto Sans CJK SC" w:hAnsi="Noto Sans CJK SC" w:eastAsia="Noto Sans CJK SC"/>
          <w:b w:val="0"/>
          <w:color w:val="595959"/>
          <w:sz w:val="17"/>
        </w:rPr>
        <w:t>本节只列给定规则下实际触发的项目；该文件为起草稿，空白签署栏未纳入风险触发。</w:t>
      </w:r>
    </w:p>
    <w:p>
      <w:pPr>
        <w:pStyle w:val="Heading1"/>
        <w:keepNext/>
        <w:pageBreakBefore/>
      </w:pPr>
      <w:r>
        <w:t>委托书4｜周丽华 → 孙志强律师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货物运输合同纠纷｜（2025）京0115民初第0336号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授权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一般授权｜2026年4月26日至2026年5月31日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来源文件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委托书4.docx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高风险｜共 4 项</w:t>
            </w:r>
          </w:p>
        </w:tc>
      </w:tr>
    </w:tbl>
    <w:p>
      <w:pPr>
        <w:pStyle w:val="Heading2"/>
      </w:pPr>
      <w:r>
        <w:t>风险明细与调整意见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2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触发证据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风险说明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调整意见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R01｜委托人身份证明缺失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委托人仅写“周丽华”，未载明身份证号或其他身份证明信息。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无法仅凭现有文件核实委托人身份，存在冒名委托、立案材料不完整和代理效力争议。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补充委托人身份证号，并将身份证明复印件作为附件与本委托书一并留存和提交。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R02｜受托人身份证明缺失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受托人写为“孙志强律师”，但没有身份证号或律师执业证号。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律师身份和诉讼代理资格无法由现有文本核验，法院可能要求补正代理人证件。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补充律师执业证号、执业机构，并附律师执业证和律所证明等所需材料。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M07｜转委托约定缺失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正文未约定是否允许孙志强律师转委托。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转委托权限和后续授权链条不清，可能导致代理行为效力争议。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写明未经委托人书面同意不得转委托；如允许，限定范围、次数和资质。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M08｜法律责任承担约定缺失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正文未约定受托人越权、不当代理或过错造成损失时的责任。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缺少责任分配条款会增加越权或不当代理发生后的追责难度。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增加越权行为责任及故意或重大过失造成损失时的赔偿条款。</w:t>
            </w:r>
          </w:p>
        </w:tc>
      </w:tr>
    </w:tbl>
    <w:p>
      <w:pPr>
        <w:spacing w:before="120"/>
      </w:pPr>
      <w:r>
        <w:rPr>
          <w:rFonts w:ascii="Noto Sans CJK SC" w:hAnsi="Noto Sans CJK SC" w:eastAsia="Noto Sans CJK SC"/>
          <w:b/>
          <w:color w:val="0F6B78"/>
          <w:sz w:val="17"/>
        </w:rPr>
        <w:t>核查边界｜</w:t>
      </w:r>
      <w:r>
        <w:rPr>
          <w:rFonts w:ascii="Noto Sans CJK SC" w:hAnsi="Noto Sans CJK SC" w:eastAsia="Noto Sans CJK SC"/>
          <w:b w:val="0"/>
          <w:color w:val="595959"/>
          <w:sz w:val="17"/>
        </w:rPr>
        <w:t>本节只列给定规则下实际触发的项目；该文件为起草稿，空白签署栏未纳入风险触发。</w:t>
      </w:r>
    </w:p>
    <w:p>
      <w:pPr>
        <w:pStyle w:val="Heading1"/>
        <w:keepNext/>
        <w:pageBreakBefore/>
      </w:pPr>
      <w:r>
        <w:t>委托书5｜吴强 → 黄丽萍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买卖合同纠纷｜（2026）川0107民初第0215号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授权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仅写“全权委托”｜2026年4月30日至2026年5月10日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来源文件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委托书5.docx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高风险｜共 4 项</w:t>
            </w:r>
          </w:p>
        </w:tc>
      </w:tr>
    </w:tbl>
    <w:p>
      <w:pPr>
        <w:pStyle w:val="Heading2"/>
      </w:pPr>
      <w:r>
        <w:t>风险明细与调整意见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2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触发证据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风险说明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调整意见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6"/>
              </w:rPr>
              <w:t>R03｜授权范围完全未明确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正文只写“全权委托”，没有“一般授权”或“特别授权”，也没有逐项列举权限。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“全权委托”没有清晰的法律边界，无法判断受托人可实施哪些程序性或实体处分行为。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改为一般授权或特别授权，并逐项列举允许事项；涉及实体权利处分时增加书面确认限制。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M03｜受托人无相应资质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文件属于诉讼代理；黄丽萍只列身份证号，未表明律师、近亲属、单位员工或法院许可身份。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现有材料不足以证明黄丽萍具备诉讼代理资格，代理行为可能不被法院认可。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补充符合诉讼代理人范围的资格证明；无法证明时，改由持有效执业证的律师担任。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M07｜转委托约定缺失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文件没有说明“全权委托”是否包含转委托，也没有任何限制条件。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模糊授权叠加转委托空白会扩大权限失控和授权链条不明的风险。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明确禁止未经书面同意的转委托；如允许，单独列明范围、次数和转受托人资质。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M08｜法律责任承担约定缺失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正文未写明受托人越权或不当代理的后果与责任。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授权边界本就模糊，若再缺少责任条款，发生争议时更难确定双方责任。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同步补充授权边界、越权责任和故意或重大过失造成损失时的赔偿责任。</w:t>
            </w:r>
          </w:p>
        </w:tc>
      </w:tr>
    </w:tbl>
    <w:p>
      <w:pPr>
        <w:spacing w:before="120"/>
      </w:pPr>
      <w:r>
        <w:rPr>
          <w:rFonts w:ascii="Noto Sans CJK SC" w:hAnsi="Noto Sans CJK SC" w:eastAsia="Noto Sans CJK SC"/>
          <w:b/>
          <w:color w:val="0F6B78"/>
          <w:sz w:val="17"/>
        </w:rPr>
        <w:t>核查边界｜</w:t>
      </w:r>
      <w:r>
        <w:rPr>
          <w:rFonts w:ascii="Noto Sans CJK SC" w:hAnsi="Noto Sans CJK SC" w:eastAsia="Noto Sans CJK SC"/>
          <w:b w:val="0"/>
          <w:color w:val="595959"/>
          <w:sz w:val="17"/>
        </w:rPr>
        <w:t>本节只列给定规则下实际触发的项目；该文件为起草稿，空白签署栏未纳入风险触发。</w:t>
      </w:r>
    </w:p>
    <w:p>
      <w:pPr>
        <w:pStyle w:val="Heading1"/>
        <w:keepNext/>
        <w:pageBreakBefore/>
      </w:pPr>
      <w:r>
        <w:t>委托书6｜上海盛宏贸易有限公司 → 陈明律师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案件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技术服务合同纠纷｜（2026）苏0101民初第0412号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授权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特别授权｜2026年6月1日至2026年6月30日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559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来源文件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委托书6.docx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22"/>
              </w:rPr>
              <w:t>中风险｜共 3 项</w:t>
            </w:r>
          </w:p>
        </w:tc>
      </w:tr>
    </w:tbl>
    <w:p>
      <w:pPr>
        <w:pStyle w:val="Heading2"/>
      </w:pPr>
      <w:r>
        <w:t>风险明细与调整意见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2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触发证据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风险说明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调整意见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M01｜特别授权范围过宽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特别授权事项超过3项，并同时包含代为承认和放弃诉讼请求，还含变更、和解与签收法律文书。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受托人可以处分公司的重要实体权利；缺少内部确认门槛时，可能产生超出公司真实决策的代理行为。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收窄到案件必要事项；承认、放弃、变更和和解须经公司有权机构事前书面确认。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M07｜转委托约定缺失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正文没有说明陈明律师能否转委托，也没有范围和资质限制。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公司无法据此控制后续代理人选择与授权链条，可能产生未经同意的二次授权。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明确禁止未经公司书面批准的转委托；确需允许时，限定事项、次数及律师资质。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9C6500"/>
                <w:sz w:val="16"/>
              </w:rPr>
              <w:t>M08｜法律责任承担约定缺失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文件未约定受托人越权、故意或重大过失时的责任。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特别授权涉及重大实体权利，缺少责任和追偿条款会增加公司事后救济难度。</w:t>
            </w:r>
          </w:p>
        </w:tc>
        <w:tc>
          <w:tcPr>
            <w:tcW w:type="dxa" w:w="25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增加越权责任、重大事项审批留痕，以及故意或重大过失造成损失时的赔偿责任。</w:t>
            </w:r>
          </w:p>
        </w:tc>
      </w:tr>
    </w:tbl>
    <w:p>
      <w:pPr>
        <w:spacing w:before="120"/>
      </w:pPr>
      <w:r>
        <w:rPr>
          <w:rFonts w:ascii="Noto Sans CJK SC" w:hAnsi="Noto Sans CJK SC" w:eastAsia="Noto Sans CJK SC"/>
          <w:b/>
          <w:color w:val="0F6B78"/>
          <w:sz w:val="17"/>
        </w:rPr>
        <w:t>核查边界｜</w:t>
      </w:r>
      <w:r>
        <w:rPr>
          <w:rFonts w:ascii="Noto Sans CJK SC" w:hAnsi="Noto Sans CJK SC" w:eastAsia="Noto Sans CJK SC"/>
          <w:b w:val="0"/>
          <w:color w:val="595959"/>
          <w:sz w:val="17"/>
        </w:rPr>
        <w:t>本节只列给定规则下实际触发的项目；该文件为起草稿，空白签署栏未纳入风险触发。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 xml:space="preserve">第 </w:t>
    </w:r>
    <w:r>
      <w:rPr>
        <w:rFonts w:ascii="Noto Sans CJK SC" w:hAnsi="Noto Sans CJK SC" w:eastAsia="Noto Sans CJK SC"/>
        <w:b w:val="0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7F7F"/>
        <w:sz w:val="16"/>
      </w:rPr>
      <w:t>FORTE Legal-020  ·  授权委托书风险提示报告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授权委托书风险提示报告</dc:title>
  <dc:subject>FORTE Legal-020 六份授权委托书逐项风控核查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