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Operations Report</w:t>
      </w:r>
    </w:p>
    <w:p>
      <w:pPr>
        <w:spacing w:after="240"/>
      </w:pPr>
      <w:r>
        <w:rPr>
          <w:rFonts w:ascii="Noto Sans" w:hAnsi="Noto Sans"/>
          <w:color w:val="2F6B8A"/>
          <w:sz w:val="22"/>
        </w:rPr>
        <w:t>Shipping coverage and tax configuration snapshot</w:t>
      </w:r>
    </w:p>
    <w:p>
      <w:pPr>
        <w:pStyle w:val="Heading1"/>
      </w:pPr>
      <w:r>
        <w:t>Executive Summary</w:t>
      </w:r>
    </w:p>
    <w:tbl>
      <w:tblPr>
        <w:tblW w:type="auto" w:w="0"/>
        <w:jc w:val="center"/>
        <w:tblLayout w:type="fixed"/>
        <w:tblLook w:firstColumn="1" w:firstRow="1" w:lastColumn="0" w:lastRow="0" w:noHBand="0" w:noVBand="1" w:val="04A0"/>
      </w:tblPr>
      <w:tblGrid>
        <w:gridCol w:w="3798"/>
        <w:gridCol w:w="3798"/>
        <w:gridCol w:w="3798"/>
        <w:gridCol w:w="3798"/>
      </w:tblGrid>
      <w:tr>
        <w:tc>
          <w:tcPr>
            <w:tcW w:type="dxa" w:w="3096"/>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Metric</w:t>
            </w:r>
          </w:p>
        </w:tc>
        <w:tc>
          <w:tcPr>
            <w:tcW w:type="dxa" w:w="1656"/>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Value</w:t>
            </w:r>
          </w:p>
        </w:tc>
        <w:tc>
          <w:tcPr>
            <w:tcW w:type="dxa" w:w="3528"/>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Metric</w:t>
            </w:r>
          </w:p>
        </w:tc>
        <w:tc>
          <w:tcPr>
            <w:tcW w:type="dxa" w:w="2232"/>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Value</w:t>
            </w:r>
          </w:p>
        </w:tc>
      </w:tr>
      <w:tr>
        <w:tc>
          <w:tcPr>
            <w:tcW w:type="dxa" w:w="309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Shipping zones</w:t>
            </w:r>
          </w:p>
        </w:tc>
        <w:tc>
          <w:tcPr>
            <w:tcW w:type="dxa" w:w="165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3</w:t>
            </w:r>
          </w:p>
        </w:tc>
        <w:tc>
          <w:tcPr>
            <w:tcW w:type="dxa" w:w="3528"/>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Enabled methods</w:t>
            </w:r>
          </w:p>
        </w:tc>
        <w:tc>
          <w:tcPr>
            <w:tcW w:type="dxa" w:w="2232"/>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6</w:t>
            </w:r>
          </w:p>
        </w:tc>
      </w:tr>
      <w:tr>
        <w:tc>
          <w:tcPr>
            <w:tcW w:type="dxa" w:w="309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Tax classes</w:t>
            </w:r>
          </w:p>
        </w:tc>
        <w:tc>
          <w:tcPr>
            <w:tcW w:type="dxa" w:w="165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3</w:t>
            </w:r>
          </w:p>
        </w:tc>
        <w:tc>
          <w:tcPr>
            <w:tcW w:type="dxa" w:w="3528"/>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Configured tax rates</w:t>
            </w:r>
          </w:p>
        </w:tc>
        <w:tc>
          <w:tcPr>
            <w:tcW w:type="dxa" w:w="2232"/>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7</w:t>
            </w:r>
          </w:p>
        </w:tc>
      </w:tr>
      <w:tr>
        <w:tc>
          <w:tcPr>
            <w:tcW w:type="dxa" w:w="309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Displayed tax rows</w:t>
            </w:r>
          </w:p>
        </w:tc>
        <w:tc>
          <w:tcPr>
            <w:tcW w:type="dxa" w:w="165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8</w:t>
            </w:r>
          </w:p>
        </w:tc>
        <w:tc>
          <w:tcPr>
            <w:tcW w:type="dxa" w:w="3528"/>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Highest configured rate</w:t>
            </w:r>
          </w:p>
        </w:tc>
        <w:tc>
          <w:tcPr>
            <w:tcW w:type="dxa" w:w="2232"/>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8.625%</w:t>
            </w:r>
          </w:p>
        </w:tc>
      </w:tr>
    </w:tbl>
    <w:p>
      <w:r>
        <w:t>The source snapshot contains 3 shipping zones with 6 enabled methods. It defines 3 tax classes and 7 configured tax-rate records. The Tax Rates worksheet displays 8 rows because a class without a configured rate is retained as an empty row.</w:t>
      </w:r>
    </w:p>
    <w:p>
      <w:pPr>
        <w:pStyle w:val="Heading1"/>
      </w:pPr>
      <w:r>
        <w:t>Shipping Coverage</w:t>
      </w:r>
    </w:p>
    <w:tbl>
      <w:tblPr>
        <w:tblW w:type="auto" w:w="0"/>
        <w:jc w:val="center"/>
        <w:tblLayout w:type="fixed"/>
        <w:tblLook w:firstColumn="1" w:firstRow="1" w:lastColumn="0" w:lastRow="0" w:noHBand="0" w:noVBand="1" w:val="04A0"/>
      </w:tblPr>
      <w:tblGrid>
        <w:gridCol w:w="3798"/>
        <w:gridCol w:w="3798"/>
        <w:gridCol w:w="3798"/>
        <w:gridCol w:w="3798"/>
      </w:tblGrid>
      <w:tr>
        <w:tc>
          <w:tcPr>
            <w:tcW w:type="dxa" w:w="2376"/>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Zone</w:t>
            </w:r>
          </w:p>
        </w:tc>
        <w:tc>
          <w:tcPr>
            <w:tcW w:type="dxa" w:w="1656"/>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Enabled methods</w:t>
            </w:r>
          </w:p>
        </w:tc>
        <w:tc>
          <w:tcPr>
            <w:tcW w:type="dxa" w:w="2952"/>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Source region codes</w:t>
            </w:r>
          </w:p>
        </w:tc>
        <w:tc>
          <w:tcPr>
            <w:tcW w:type="dxa" w:w="6552"/>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Configured method titles</w:t>
            </w:r>
          </w:p>
        </w:tc>
      </w:tr>
      <w:tr>
        <w:tc>
          <w:tcPr>
            <w:tcW w:type="dxa" w:w="237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Доставка по РФ</w:t>
            </w:r>
          </w:p>
        </w:tc>
        <w:tc>
          <w:tcPr>
            <w:tcW w:type="dxa" w:w="165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3</w:t>
            </w:r>
          </w:p>
        </w:tc>
        <w:tc>
          <w:tcPr>
            <w:tcW w:type="dxa" w:w="2952"/>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country:US</w:t>
            </w:r>
          </w:p>
        </w:tc>
        <w:tc>
          <w:tcPr>
            <w:tcW w:type="dxa" w:w="6552"/>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Стандартная доставка; Экспресс-доставка; Бесплатная доставка (заказы &gt; 100 ₽)</w:t>
            </w:r>
          </w:p>
        </w:tc>
      </w:tr>
      <w:tr>
        <w:tc>
          <w:tcPr>
            <w:tcW w:type="dxa" w:w="237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Москва</w:t>
            </w:r>
          </w:p>
        </w:tc>
        <w:tc>
          <w:tcPr>
            <w:tcW w:type="dxa" w:w="165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2</w:t>
            </w:r>
          </w:p>
        </w:tc>
        <w:tc>
          <w:tcPr>
            <w:tcW w:type="dxa" w:w="2952"/>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state:US:CA</w:t>
            </w:r>
          </w:p>
        </w:tc>
        <w:tc>
          <w:tcPr>
            <w:tcW w:type="dxa" w:w="6552"/>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Стандартная (Москва); Самовывоз из магазина</w:t>
            </w:r>
          </w:p>
        </w:tc>
      </w:tr>
      <w:tr>
        <w:tc>
          <w:tcPr>
            <w:tcW w:type="dxa" w:w="237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Международная</w:t>
            </w:r>
          </w:p>
        </w:tc>
        <w:tc>
          <w:tcPr>
            <w:tcW w:type="dxa" w:w="165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1</w:t>
            </w:r>
          </w:p>
        </w:tc>
        <w:tc>
          <w:tcPr>
            <w:tcW w:type="dxa" w:w="2952"/>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continent:EU; country:CA; country:GB</w:t>
            </w:r>
          </w:p>
        </w:tc>
        <w:tc>
          <w:tcPr>
            <w:tcW w:type="dxa" w:w="6552"/>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Международная доставка</w:t>
            </w:r>
          </w:p>
        </w:tc>
      </w:tr>
    </w:tbl>
    <w:p>
      <w:r>
        <w:br w:type="page"/>
      </w:r>
    </w:p>
    <w:p>
      <w:pPr>
        <w:pStyle w:val="Heading1"/>
      </w:pPr>
      <w:r>
        <w:t>Tax Structure</w:t>
      </w:r>
    </w:p>
    <w:tbl>
      <w:tblPr>
        <w:tblW w:type="auto" w:w="0"/>
        <w:jc w:val="center"/>
        <w:tblLayout w:type="fixed"/>
        <w:tblLook w:firstColumn="1" w:firstRow="1" w:lastColumn="0" w:lastRow="0" w:noHBand="0" w:noVBand="1" w:val="04A0"/>
      </w:tblPr>
      <w:tblGrid>
        <w:gridCol w:w="2532"/>
        <w:gridCol w:w="2532"/>
        <w:gridCol w:w="2532"/>
        <w:gridCol w:w="2532"/>
        <w:gridCol w:w="2532"/>
        <w:gridCol w:w="2532"/>
      </w:tblGrid>
      <w:tr>
        <w:tc>
          <w:tcPr>
            <w:tcW w:type="dxa" w:w="1944"/>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Tax class</w:t>
            </w:r>
          </w:p>
        </w:tc>
        <w:tc>
          <w:tcPr>
            <w:tcW w:type="dxa" w:w="2376"/>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Rate name</w:t>
            </w:r>
          </w:p>
        </w:tc>
        <w:tc>
          <w:tcPr>
            <w:tcW w:type="dxa" w:w="3744"/>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Source scope</w:t>
            </w:r>
          </w:p>
        </w:tc>
        <w:tc>
          <w:tcPr>
            <w:tcW w:type="dxa" w:w="1296"/>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Rate</w:t>
            </w:r>
          </w:p>
        </w:tc>
        <w:tc>
          <w:tcPr>
            <w:tcW w:type="dxa" w:w="1440"/>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Compound</w:t>
            </w:r>
          </w:p>
        </w:tc>
        <w:tc>
          <w:tcPr>
            <w:tcW w:type="dxa" w:w="1440"/>
            <w:shd w:fill="17324D"/>
            <w:tcBorders>
              <w:top w:val="single" w:sz="5" w:color="17324D"/>
              <w:left w:val="single" w:sz="5" w:color="17324D"/>
              <w:bottom w:val="single" w:sz="5" w:color="17324D"/>
              <w:right w:val="single" w:sz="5" w:color="17324D"/>
            </w:tcBorders>
            <w:vAlign w:val="center"/>
          </w:tcPr>
          <w:p>
            <w:pPr>
              <w:spacing w:after="0"/>
            </w:pPr>
            <w:r>
              <w:rPr>
                <w:rFonts w:ascii="Noto Sans" w:hAnsi="Noto Sans"/>
                <w:b/>
                <w:color w:val="FFFFFF"/>
                <w:sz w:val="16"/>
              </w:rPr>
              <w:t>Shipping</w:t>
            </w:r>
          </w:p>
        </w:tc>
      </w:tr>
      <w:tr>
        <w:tc>
          <w:tcPr>
            <w:tcW w:type="dxa" w:w="19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Reduced Rate</w:t>
            </w:r>
          </w:p>
        </w:tc>
        <w:tc>
          <w:tcPr>
            <w:tcW w:type="dxa" w:w="237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(пониженный)</w:t>
            </w:r>
          </w:p>
        </w:tc>
        <w:tc>
          <w:tcPr>
            <w:tcW w:type="dxa" w:w="37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w:t>
            </w:r>
          </w:p>
        </w:tc>
        <w:tc>
          <w:tcPr>
            <w:tcW w:type="dxa" w:w="129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5%</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Standard</w:t>
            </w:r>
          </w:p>
        </w:tc>
        <w:tc>
          <w:tcPr>
            <w:tcW w:type="dxa" w:w="237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(Москва)</w:t>
            </w:r>
          </w:p>
        </w:tc>
        <w:tc>
          <w:tcPr>
            <w:tcW w:type="dxa" w:w="37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 / CA</w:t>
            </w:r>
          </w:p>
        </w:tc>
        <w:tc>
          <w:tcPr>
            <w:tcW w:type="dxa" w:w="129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7.25%</w:t>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Standard</w:t>
            </w:r>
          </w:p>
        </w:tc>
        <w:tc>
          <w:tcPr>
            <w:tcW w:type="dxa" w:w="237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(Краснодар)</w:t>
            </w:r>
          </w:p>
        </w:tc>
        <w:tc>
          <w:tcPr>
            <w:tcW w:type="dxa" w:w="37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 / CA / 94* / Краснодар</w:t>
            </w:r>
          </w:p>
        </w:tc>
        <w:tc>
          <w:tcPr>
            <w:tcW w:type="dxa" w:w="129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8.625%</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Standard</w:t>
            </w:r>
          </w:p>
        </w:tc>
        <w:tc>
          <w:tcPr>
            <w:tcW w:type="dxa" w:w="237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(Уфа)</w:t>
            </w:r>
          </w:p>
        </w:tc>
        <w:tc>
          <w:tcPr>
            <w:tcW w:type="dxa" w:w="37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 / NY</w:t>
            </w:r>
          </w:p>
        </w:tc>
        <w:tc>
          <w:tcPr>
            <w:tcW w:type="dxa" w:w="129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8%</w:t>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Standard</w:t>
            </w:r>
          </w:p>
        </w:tc>
        <w:tc>
          <w:tcPr>
            <w:tcW w:type="dxa" w:w="237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(Екатеринбург)</w:t>
            </w:r>
          </w:p>
        </w:tc>
        <w:tc>
          <w:tcPr>
            <w:tcW w:type="dxa" w:w="37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 / TX</w:t>
            </w:r>
          </w:p>
        </w:tc>
        <w:tc>
          <w:tcPr>
            <w:tcW w:type="dxa" w:w="129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6.25%</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Standard</w:t>
            </w:r>
          </w:p>
        </w:tc>
        <w:tc>
          <w:tcPr>
            <w:tcW w:type="dxa" w:w="237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(Тюмень)</w:t>
            </w:r>
          </w:p>
        </w:tc>
        <w:tc>
          <w:tcPr>
            <w:tcW w:type="dxa" w:w="37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 / WA</w:t>
            </w:r>
          </w:p>
        </w:tc>
        <w:tc>
          <w:tcPr>
            <w:tcW w:type="dxa" w:w="129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6.5%</w:t>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Standard</w:t>
            </w:r>
          </w:p>
        </w:tc>
        <w:tc>
          <w:tcPr>
            <w:tcW w:type="dxa" w:w="237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НДС (Флорида)</w:t>
            </w:r>
          </w:p>
        </w:tc>
        <w:tc>
          <w:tcPr>
            <w:tcW w:type="dxa" w:w="3744"/>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Россия / FL</w:t>
            </w:r>
          </w:p>
        </w:tc>
        <w:tc>
          <w:tcPr>
            <w:tcW w:type="dxa" w:w="1296"/>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6%</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false</w:t>
            </w:r>
          </w:p>
        </w:tc>
        <w:tc>
          <w:tcPr>
            <w:tcW w:type="dxa" w:w="1440"/>
            <w:shd w:fill="FFFFFF"/>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true</w:t>
            </w:r>
          </w:p>
        </w:tc>
      </w:tr>
      <w:tr>
        <w:tc>
          <w:tcPr>
            <w:tcW w:type="dxa" w:w="19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Zero Rate</w:t>
            </w:r>
          </w:p>
        </w:tc>
        <w:tc>
          <w:tcPr>
            <w:tcW w:type="dxa" w:w="237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t>No configured rate</w:t>
            </w:r>
          </w:p>
        </w:tc>
        <w:tc>
          <w:tcPr>
            <w:tcW w:type="dxa" w:w="3744"/>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r>
          </w:p>
        </w:tc>
        <w:tc>
          <w:tcPr>
            <w:tcW w:type="dxa" w:w="1296"/>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r>
          </w:p>
        </w:tc>
        <w:tc>
          <w:tcPr>
            <w:tcW w:type="dxa" w:w="1440"/>
            <w:shd w:fill="F5F8FA"/>
            <w:tcBorders>
              <w:top w:val="single" w:sz="5" w:color="D6DEE5"/>
              <w:left w:val="single" w:sz="5" w:color="D6DEE5"/>
              <w:bottom w:val="single" w:sz="5" w:color="D6DEE5"/>
              <w:right w:val="single" w:sz="5" w:color="D6DEE5"/>
            </w:tcBorders>
            <w:vAlign w:val="center"/>
          </w:tcPr>
          <w:p>
            <w:pPr>
              <w:spacing w:before="0" w:after="0"/>
            </w:pPr>
            <w:r>
              <w:rPr>
                <w:rFonts w:ascii="Noto Sans" w:hAnsi="Noto Sans"/>
                <w:color w:val="17324D"/>
                <w:sz w:val="15"/>
              </w:rPr>
            </w:r>
          </w:p>
        </w:tc>
      </w:tr>
    </w:tbl>
    <w:p>
      <w:r>
        <w:t>Standard contains six configured records, Reduced Rate contains one, and Zero Rate contains no configured record. CA appears twice under Standard: 7.25% without a postcode/city scope and 8.625% with postcode 94* and city Краснодар. Every configured record applies to shipping and none is compound.</w:t>
      </w:r>
    </w:p>
    <w:p>
      <w:pPr>
        <w:pStyle w:val="Heading1"/>
      </w:pPr>
      <w:r>
        <w:t>Recommendations</w:t>
      </w:r>
    </w:p>
    <w:p>
      <w:pPr>
        <w:pStyle w:val="ListBullet"/>
        <w:spacing w:after="60"/>
      </w:pPr>
      <w:r>
        <w:rPr>
          <w:rFonts w:ascii="Noto Sans" w:hAnsi="Noto Sans"/>
          <w:color w:val="17324D"/>
          <w:sz w:val="18"/>
        </w:rPr>
        <w:t>Review whether Международная needs another enabled delivery option; the snapshot currently shows one configured method there. This is a configuration review, not a demand forecast.</w:t>
      </w:r>
    </w:p>
    <w:p>
      <w:pPr>
        <w:pStyle w:val="ListBullet"/>
        <w:spacing w:after="60"/>
      </w:pPr>
      <w:r>
        <w:rPr>
          <w:rFonts w:ascii="Noto Sans" w:hAnsi="Noto Sans"/>
          <w:color w:val="17324D"/>
          <w:sz w:val="18"/>
        </w:rPr>
        <w:t>Verify that the two CA Standard entries intentionally use different postcode/city scope before simplifying either record.</w:t>
      </w:r>
    </w:p>
    <w:p>
      <w:pPr>
        <w:pStyle w:val="ListBullet"/>
        <w:spacing w:after="60"/>
      </w:pPr>
      <w:r>
        <w:rPr>
          <w:rFonts w:ascii="Noto Sans" w:hAnsi="Noto Sans"/>
          <w:color w:val="17324D"/>
          <w:sz w:val="18"/>
        </w:rPr>
        <w:t>Document the intended use of Zero Rate before activation; the class exists in the source, but no rate record is configured.</w:t>
      </w:r>
    </w:p>
    <w:p>
      <w:pPr>
        <w:pStyle w:val="Heading1"/>
      </w:pPr>
      <w:r>
        <w:t>Source Boundary</w:t>
      </w:r>
    </w:p>
    <w:p>
      <w:r>
        <w:t>This report restates the supplied configuration snapshot only. Region labels, tax names, codes and settings are preserved as supplied. No order volume, revenue, customer demand, conversion, market benchmark, savings estimate or forecast was provided, so none is asserted.</w:t>
      </w:r>
    </w:p>
    <w:sectPr w:rsidR="00FC693F" w:rsidRPr="0006063C" w:rsidSect="00034616">
      <w:headerReference w:type="default" r:id="rId9"/>
      <w:footerReference w:type="default" r:id="rId10"/>
      <w:pgSz w:w="16838" w:h="11906" w:orient="landscape"/>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E6C78"/>
        <w:sz w:val="15"/>
      </w:rPr>
      <w:t>Source-bound offline report • Shipping &amp; tax configuration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2F6B8A"/>
        <w:sz w:val="15"/>
      </w:rPr>
      <w:t>OPERATIONS  /  CONFIGURATION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w:hAnsi="Noto Sans"/>
      <w:color w:val="173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2F6B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5E6C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Report: Shipping and Tax Configuration</dc:title>
  <dc:subject>Source-bound review of shipping zones and tax classes</dc:subject>
  <dc:creator>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