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C0EF4">
      <w:pPr>
        <w:spacing w:before="1400" w:after="16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项目申报书</w:t>
      </w:r>
    </w:p>
    <w:p w14:paraId="4B451ECF">
      <w:pPr>
        <w:spacing w:after="200"/>
        <w:jc w:val="center"/>
      </w:pPr>
      <w:r>
        <w:rPr>
          <w:rFonts w:hint="eastAsia" w:ascii="Noto Sans CJK SC" w:hAnsi="Noto Sans CJK SC" w:eastAsia="宋体"/>
          <w:b/>
          <w:color w:val="0F6B63"/>
          <w:sz w:val="40"/>
          <w:lang w:eastAsia="zh-CN"/>
        </w:rPr>
        <w:t>青梧谷灵</w:t>
      </w:r>
      <w:r>
        <w:rPr>
          <w:rFonts w:ascii="Noto Sans CJK SC" w:hAnsi="Noto Sans CJK SC" w:eastAsia="Noto Sans CJK SC"/>
          <w:b/>
          <w:color w:val="0F6B63"/>
          <w:sz w:val="40"/>
        </w:rPr>
        <w:t xml:space="preserve"> MR 共创计划</w:t>
      </w:r>
    </w:p>
    <w:p w14:paraId="25183B1C">
      <w:pPr>
        <w:spacing w:after="700"/>
        <w:jc w:val="center"/>
      </w:pPr>
      <w:r>
        <w:rPr>
          <w:rFonts w:ascii="Noto Serif CJK SC" w:hAnsi="Noto Serif CJK SC" w:eastAsia="Noto Serif CJK SC"/>
          <w:b w:val="0"/>
          <w:color w:val="555555"/>
          <w:sz w:val="25"/>
        </w:rPr>
        <w:t>以滨</w:t>
      </w:r>
      <w:r>
        <w:rPr>
          <w:rFonts w:hint="eastAsia" w:eastAsia="宋体"/>
          <w:b w:val="0"/>
          <w:color w:val="555555"/>
          <w:sz w:val="25"/>
          <w:lang w:val="en-US" w:eastAsia="zh-CN"/>
        </w:rPr>
        <w:t>星</w:t>
      </w:r>
      <w:r>
        <w:rPr>
          <w:rFonts w:ascii="Noto Serif CJK SC" w:hAnsi="Noto Serif CJK SC" w:eastAsia="Noto Serif CJK SC"/>
          <w:b w:val="0"/>
          <w:color w:val="555555"/>
          <w:sz w:val="25"/>
        </w:rPr>
        <w:t>手作、互动叙事与数字展演，重构区域文化体验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6080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4F2"/>
          </w:tcPr>
          <w:p w14:paraId="5B342CB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文化科技融合</w:t>
            </w:r>
          </w:p>
        </w:tc>
        <w:tc>
          <w:tcPr>
            <w:tcW w:w="23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9EAF7"/>
          </w:tcPr>
          <w:p w14:paraId="02E120F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沉浸式文旅</w:t>
            </w:r>
          </w:p>
        </w:tc>
        <w:tc>
          <w:tcPr>
            <w:tcW w:w="23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4F2"/>
          </w:tcPr>
          <w:p w14:paraId="1337FCE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共创工坊</w:t>
            </w:r>
          </w:p>
        </w:tc>
      </w:tr>
    </w:tbl>
    <w:p w14:paraId="06F3FE72">
      <w:pPr>
        <w:spacing w:before="1200"/>
        <w:jc w:val="center"/>
      </w:pPr>
      <w:r>
        <w:rPr>
          <w:rFonts w:ascii="Noto Serif CJK SC" w:hAnsi="Noto Serif CJK SC" w:eastAsia="Noto Serif CJK SC"/>
          <w:b w:val="0"/>
          <w:sz w:val="24"/>
        </w:rPr>
        <w:t>申报单位：__________________________</w:t>
      </w:r>
    </w:p>
    <w:p w14:paraId="50D79FFD">
      <w:pPr>
        <w:jc w:val="center"/>
      </w:pPr>
      <w:r>
        <w:rPr>
          <w:rFonts w:ascii="Noto Serif CJK SC" w:hAnsi="Noto Serif CJK SC" w:eastAsia="Noto Serif CJK SC"/>
          <w:b w:val="0"/>
          <w:sz w:val="24"/>
        </w:rPr>
        <w:t>申报日期：2026 年 5 月</w:t>
      </w:r>
    </w:p>
    <w:p w14:paraId="1CB7B33B">
      <w:r>
        <w:br w:type="page"/>
      </w:r>
    </w:p>
    <w:p w14:paraId="5382E3D8">
      <w:pPr>
        <w:spacing w:after="240"/>
        <w:jc w:val="center"/>
      </w:pPr>
      <w:r>
        <w:rPr>
          <w:rFonts w:hint="eastAsia" w:ascii="Noto Sans CJK SC" w:hAnsi="Noto Sans CJK SC" w:eastAsia="宋体"/>
          <w:b/>
          <w:color w:val="1F4E79"/>
          <w:sz w:val="36"/>
          <w:lang w:eastAsia="zh-CN"/>
        </w:rPr>
        <w:t>青梧谷灵</w:t>
      </w:r>
      <w:r>
        <w:rPr>
          <w:rFonts w:ascii="Noto Sans CJK SC" w:hAnsi="Noto Sans CJK SC" w:eastAsia="Noto Sans CJK SC"/>
          <w:b/>
          <w:color w:val="1F4E79"/>
          <w:sz w:val="36"/>
        </w:rPr>
        <w:t xml:space="preserve"> MR 共创计划项目申报表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17"/>
      </w:tblGrid>
      <w:tr w14:paraId="0588F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07D8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申报事项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0D7B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申报内容</w:t>
            </w:r>
          </w:p>
        </w:tc>
      </w:tr>
      <w:tr w14:paraId="0E00E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F6A2A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项目名称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73360">
            <w:pPr>
              <w:spacing w:after="0"/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青梧谷灵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 xml:space="preserve"> MR 共创计划</w:t>
            </w:r>
          </w:p>
        </w:tc>
      </w:tr>
      <w:tr w14:paraId="16057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10904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项目类别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79500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文化科技融合、沉浸式文旅、互动手作共创项目</w:t>
            </w:r>
          </w:p>
        </w:tc>
      </w:tr>
      <w:tr w14:paraId="3E4B9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59AE2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申报方向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DDC4B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面向区域文化体验更新的 MR 内容生产、沉浸式场景运营与文旅消费转化。</w:t>
            </w:r>
          </w:p>
        </w:tc>
      </w:tr>
      <w:tr w14:paraId="3F69B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FB910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项目定位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6E24B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打造轻量化 MR 文化体验综合体，将地域手作文化、空间叙事、互动技术与文创消费联动起来，为景区、商圈、研学机构和公共文化空间提供可复制的文化科技活动包。</w:t>
            </w:r>
          </w:p>
        </w:tc>
      </w:tr>
      <w:tr w14:paraId="4E832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05B4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项目背景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EE1D9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当前文旅消费正在从“观看展品”转向“参与故事”。年轻客群更偏好可分享、可互动、可二次创作的文化体验；传统手作展示仍以静态陈列为主，体验链条较短，地区文化 IP 缺少持续运营的内容容器和跨场景渠道。项目以 MR、空间叙事和工坊课程形成闭环，通过“看剧—上手—带走—复访”的方式提升停留时长与复访转化。</w:t>
            </w:r>
          </w:p>
        </w:tc>
      </w:tr>
      <w:tr w14:paraId="5F32F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1F891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痛点分析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9D19F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1. 传承断层：课程依赖个人经验，缺少标准化内容包与新媒体表达。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2. 产品单一：工艺品、研学课、展陈彼此割裂，难以形成持续复购。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3. 场景不足：观众只能观看成品，缺少角色代入与创作反馈。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4. 运营偏弱：数据沉淀、票务联动、IP 衍生开发能力不足。</w:t>
            </w:r>
          </w:p>
        </w:tc>
      </w:tr>
      <w:tr w14:paraId="12A59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B854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建设目标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3AC6B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围绕“文化内容可进入、手作体验可参与、数字资产可复用、运营数据可沉淀”四个目标，形成一套从手艺采集、数字建模、剧情改编、空间联动到课程复访的完整方案。</w:t>
            </w:r>
          </w:p>
        </w:tc>
      </w:tr>
      <w:tr w14:paraId="780CC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D8520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建设内容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898EE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1. 手艺采集：记录工具、纹样、流程与口述故事，整理可转译的文化素材。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2. 数字资产：建立器物扫描、材质采样、纹样库与动作库，形成可复用虚拟材料库。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3. 互动叙事：将地域传说改写为多线剧情，设置角色身份、线索任务和创作反馈。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4. 场景部署：在工坊、展厅、商圈快闪点和研学基地快速搭建体验空间。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5. 课程与文创：开发入门课、主题课、亲子协作课、城市纹样周边和礼盒产品。</w:t>
            </w:r>
          </w:p>
        </w:tc>
      </w:tr>
      <w:tr w14:paraId="176DD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8472F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产品体系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AD7BC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项目形成“MR 沉浸剧 + 共创工坊 + 文创零售 + 品牌活动包”的产品矩阵：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• MR 沉浸剧：多线剧情、手势交互、场景任务。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• 共创工坊：入门课、主题课、亲子协作课。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• 文创零售：手作套装、城市纹样周边、礼盒。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• 品牌活动包：商圈快闪、企业定制、节庆联动。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体验链路为：看见文化 → 走进故事 → 动手创作 → 带走记忆 → 线上复访。</w:t>
            </w:r>
          </w:p>
        </w:tc>
      </w:tr>
      <w:tr w14:paraId="4883A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B3C8F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目标客群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8A42C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亲子游客：周末打卡、手作体验。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青年客群：社交传播、IP 周边、互动体验。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研学机构：课程共创、活动包、项目式学习。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商业空间：快闪引流、品牌联名、节庆活动。</w:t>
            </w:r>
          </w:p>
        </w:tc>
      </w:tr>
      <w:tr w14:paraId="3B252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D8314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体验流程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DA7B0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入场领取任务：获得角色身份与线索卡。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虚实探索：识别器物、纹样和空间线索。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动手创作：完成小型手作件。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剧情反馈：作品触发场景变化。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带走延展：线上复访、课程推荐与周边购买。</w:t>
            </w:r>
          </w:p>
        </w:tc>
      </w:tr>
      <w:tr w14:paraId="33989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9A1FA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技术路线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6931A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数字资产层：器物扫描、材质采样、纹样库、动作库。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交互引擎层：SLAM 定位、手势识别、语音触发、剧情状态机。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运营管理层：预约票务、课程排期、库存周边、用户画像。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多端呈现层：MR 眼镜、平板导览、投影舞台、线上小程序。</w:t>
            </w:r>
          </w:p>
        </w:tc>
      </w:tr>
      <w:tr w14:paraId="0D7BE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0908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技术选型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78486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识别定位：轻量方案采用平板视觉识别，增强方案采用 MR 眼镜空间锚点。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内容呈现：轻量方案采用互动屏与投影，增强方案采用头显与空间音频。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交互方式：轻量方案以触控与扫码为主，增强方案以手势、语音与道具触发为主。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部署维护：先保障稳定识别与低维护成本，再逐步提升沉浸感与互动复杂度。</w:t>
            </w:r>
          </w:p>
        </w:tc>
      </w:tr>
      <w:tr w14:paraId="5F0E1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440D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竞争优势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F8FCA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本项目强调轻空间、强互动、可复用：与传统展陈相比互动更深，与大型实景演艺相比空间和维护压力更低，与普通手作课相比内容延展和传播素材更丰富。核心优势不是更贵重的舞台，而是可复制的体验系统。</w:t>
            </w:r>
          </w:p>
        </w:tc>
      </w:tr>
      <w:tr w14:paraId="4FE03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89A8A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差异化能力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E26A8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内容壁垒：地域传说、手作流程与角色叙事结合，形成独有剧本库。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技术壁垒：虚实定位、动作识别与多场景投放模板可反复迭代。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渠道壁垒：景区、商圈、研学、社区多点联动，获客路径分散。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运营壁垒：票务、课程、零售和活动订单统一沉淀数据。</w:t>
            </w:r>
          </w:p>
        </w:tc>
      </w:tr>
      <w:tr w14:paraId="0E52E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A9C1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商业模式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FC4D9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体验票务：标准体验、亲子套票、主题夜场，作为主入口。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课程培训：研学课程、社区工坊、校企合作，形成复购。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文创销售：材料包、联名礼盒、限定纹样周边，实现带货转化。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活动定制：品牌快闪、企业团建、节庆策展，提升高客单收入。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成本控制：剧本、模型、互动逻辑跨场景复用，线下空间采用可移动展具与模块化道具。</w:t>
            </w:r>
          </w:p>
        </w:tc>
      </w:tr>
      <w:tr w14:paraId="70652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388DD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资金使用方向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A0232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内容开发：剧本、角色、数字资产与美术规范。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设备投入：体验终端、投影与基础运算设备。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空间搭建：可移动展具、道具与安全动线。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市场运营：渠道合作、活动组织与用户维护。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启动期强调现金流安全，扩展期强调内容资产复用。</w:t>
            </w:r>
          </w:p>
        </w:tc>
      </w:tr>
      <w:tr w14:paraId="08FBE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A4E8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资源整合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41468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公共文化机构：提供场地、活动背书与群众文化入口。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商业空间：提供客流、快闪场景与联合营销资源。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学校与研学机构：共建课程、招募学员与开展项目式学习。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手作工作室：提供师资、材料包与小规模生产能力。</w:t>
            </w:r>
          </w:p>
        </w:tc>
      </w:tr>
      <w:tr w14:paraId="10DC8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44E2F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团队配置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25091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内容策划组：负责剧本、课程、展陈文案。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技术制作组：负责建模、交互、设备调试。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运营商务组：负责渠道、活动、票务与销售。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视觉设计组：负责品牌、空间、文创包装。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导师顾问组：负责工艺把关、教育与安全规范。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管理方式：项目经理统筹进度，内容与技术双周评审，运营端按活动批次复盘。</w:t>
            </w:r>
          </w:p>
        </w:tc>
      </w:tr>
      <w:tr w14:paraId="2261F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F888F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实施计划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01D40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启动阶段：完成旗舰体验、课程包与首批文创上架。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成长阶段：扩展商圈与研学渠道，迭代多人协作体验。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拓展阶段：形成城市文化线路与跨区域联名内容。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成熟阶段：输出标准化活动包与文化科技服务能力。</w:t>
            </w:r>
          </w:p>
        </w:tc>
      </w:tr>
      <w:tr w14:paraId="28C2C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AE93E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风险控制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7E48F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技术稳定风险：采用轻量方案先行验证，重点保障识别稳定性、设备安全和维护成本。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内容更新风险：建立剧本库、纹样库和课程包迭代机制，避免单一主题疲劳。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场地运营风险：使用模块化展具和可移动道具，降低场地适配成本。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用户转化风险：把票务、课程、文创和活动定制联动设计，提高单次体验后的复购路径。</w:t>
            </w:r>
          </w:p>
        </w:tc>
      </w:tr>
      <w:tr w14:paraId="49CF2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A9EC9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预期成果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F19D9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形成一套可复制的 MR 文化体验活动包；建设可复用的数字素材库和互动剧本库；形成面向亲子、青年、研学与商业空间的分层产品；推动传统手作进入校园、社区、游客路线和城市文化活动场景。</w:t>
            </w:r>
          </w:p>
        </w:tc>
      </w:tr>
      <w:tr w14:paraId="413F5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A10F4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社会价值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CBE0E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文化传播：让传统手作以更轻松的方式进入校园、社区与游客路线。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教育共创：形成可复用课程包，支持不同年龄层分级学习。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就业拓展：衍生讲解、助教、运维、设计与活动执行岗位。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数据反哺：沉淀匿名化交互偏好，持续优化内容与运营。</w:t>
            </w:r>
          </w:p>
        </w:tc>
      </w:tr>
      <w:tr w14:paraId="41B6E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1F4E79" w:sz="12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14E7D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项目介绍材料</w:t>
            </w:r>
          </w:p>
        </w:tc>
        <w:tc>
          <w:tcPr>
            <w:tcW w:w="6917" w:type="dxa"/>
            <w:tcBorders>
              <w:top w:val="single" w:color="1F4E79" w:sz="12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62BEC">
            <w:pPr>
              <w:spacing w:after="0"/>
            </w:pPr>
          </w:p>
          <w:p w14:paraId="5A65388B"/>
          <w:p w14:paraId="6999AEE4"/>
          <w:p w14:paraId="07D79881"/>
        </w:tc>
      </w:tr>
    </w:tbl>
    <w:p w14:paraId="108B0092">
      <w:pPr>
        <w:spacing w:before="160"/>
      </w:pPr>
    </w:p>
    <w:sectPr>
      <w:headerReference r:id="rId5" w:type="default"/>
      <w:footerReference r:id="rId6" w:type="default"/>
      <w:pgSz w:w="11906" w:h="16838"/>
      <w:pgMar w:top="1247" w:right="1304" w:bottom="1134" w:left="1304" w:header="680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6CD21">
    <w:pPr>
      <w:pStyle w:val="24"/>
      <w:jc w:val="center"/>
    </w:pPr>
    <w:r>
      <w:rPr>
        <w:rFonts w:ascii="Noto Serif CJK SC" w:hAnsi="Noto Serif CJK SC" w:eastAsia="Noto Serif CJK SC"/>
        <w:b w:val="0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erif CJK SC" w:hAnsi="Noto Serif CJK SC" w:eastAsia="Noto Serif CJK SC"/>
        <w:b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918D0">
    <w:pPr>
      <w:pStyle w:val="25"/>
      <w:pBdr>
        <w:bottom w:val="single" w:color="BFBFBF" w:sz="8" w:space="1"/>
      </w:pBdr>
      <w:jc w:val="right"/>
    </w:pPr>
    <w:bookmarkStart w:id="0" w:name="_GoBack"/>
    <w:bookmarkEnd w:id="0"/>
    <w:r>
      <w:rPr>
        <w:rFonts w:hint="eastAsia" w:ascii="Noto Sans CJK SC" w:hAnsi="Noto Sans CJK SC" w:eastAsia="宋体"/>
        <w:b w:val="0"/>
        <w:color w:val="666666"/>
        <w:sz w:val="18"/>
        <w:lang w:eastAsia="zh-CN"/>
      </w:rPr>
      <w:t>青梧谷灵</w:t>
    </w:r>
    <w:r>
      <w:rPr>
        <w:rFonts w:ascii="Noto Sans CJK SC" w:hAnsi="Noto Sans CJK SC" w:eastAsia="Noto Sans CJK SC"/>
        <w:b w:val="0"/>
        <w:color w:val="666666"/>
        <w:sz w:val="18"/>
      </w:rPr>
      <w:t xml:space="preserve"> MR 共创计划 · 项目申报书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B0567F"/>
    <w:rsid w:val="62AD7C47"/>
    <w:rsid w:val="64F62CCC"/>
    <w:rsid w:val="719A7E36"/>
    <w:rsid w:val="756D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4</Pages>
  <Words>1321</Words>
  <Characters>1375</Characters>
  <Lines>0</Lines>
  <Paragraphs>0</Paragraphs>
  <TotalTime>19</TotalTime>
  <ScaleCrop>false</ScaleCrop>
  <LinksUpToDate>false</LinksUpToDate>
  <CharactersWithSpaces>1426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