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10.xml" ContentType="application/vnd.ms-office.chartcolorstyle+xml"/>
  <Override PartName="/word/charts/colors11.xml" ContentType="application/vnd.ms-office.chartcolorstyle+xml"/>
  <Override PartName="/word/charts/colors12.xml" ContentType="application/vnd.ms-office.chartcolorstyle+xml"/>
  <Override PartName="/word/charts/colors13.xml" ContentType="application/vnd.ms-office.chartcolorstyle+xml"/>
  <Override PartName="/word/charts/colors14.xml" ContentType="application/vnd.ms-office.chartcolorstyle+xml"/>
  <Override PartName="/word/charts/colors15.xml" ContentType="application/vnd.ms-office.chartcolorstyle+xml"/>
  <Override PartName="/word/charts/colors16.xml" ContentType="application/vnd.ms-office.chartcolorstyle+xml"/>
  <Override PartName="/word/charts/colors17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10.xml" ContentType="application/vnd.ms-office.chartstyle+xml"/>
  <Override PartName="/word/charts/style11.xml" ContentType="application/vnd.ms-office.chartstyle+xml"/>
  <Override PartName="/word/charts/style12.xml" ContentType="application/vnd.ms-office.chartstyle+xml"/>
  <Override PartName="/word/charts/style13.xml" ContentType="application/vnd.ms-office.chartstyle+xml"/>
  <Override PartName="/word/charts/style14.xml" ContentType="application/vnd.ms-office.chartstyle+xml"/>
  <Override PartName="/word/charts/style15.xml" ContentType="application/vnd.ms-office.chartstyle+xml"/>
  <Override PartName="/word/charts/style16.xml" ContentType="application/vnd.ms-office.chartstyle+xml"/>
  <Override PartName="/word/charts/style17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10.xml" ContentType="application/vnd.openxmlformats-officedocument.themeOverride+xml"/>
  <Override PartName="/word/theme/themeOverride11.xml" ContentType="application/vnd.openxmlformats-officedocument.themeOverride+xml"/>
  <Override PartName="/word/theme/themeOverride12.xml" ContentType="application/vnd.openxmlformats-officedocument.themeOverride+xml"/>
  <Override PartName="/word/theme/themeOverride13.xml" ContentType="application/vnd.openxmlformats-officedocument.themeOverride+xml"/>
  <Override PartName="/word/theme/themeOverride14.xml" ContentType="application/vnd.openxmlformats-officedocument.themeOverride+xml"/>
  <Override PartName="/word/theme/themeOverride15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  <Override PartName="/word/theme/themeOverride5.xml" ContentType="application/vnd.openxmlformats-officedocument.themeOverride+xml"/>
  <Override PartName="/word/theme/themeOverride6.xml" ContentType="application/vnd.openxmlformats-officedocument.themeOverride+xml"/>
  <Override PartName="/word/theme/themeOverride7.xml" ContentType="application/vnd.openxmlformats-officedocument.themeOverride+xml"/>
  <Override PartName="/word/theme/themeOverride8.xml" ContentType="application/vnd.openxmlformats-officedocument.themeOverride+xml"/>
  <Override PartName="/word/theme/themeOverride9.xml" ContentType="application/vnd.openxmlformats-officedocument.themeOverride+xml"/>
  <Override PartName="/word/webExtensions/webExtension1.xml" ContentType="application/vnd.wps-officedocument.webExtension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F9098">
      <w:pPr>
        <w:keepNext w:val="0"/>
        <w:keepLines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Lines="0" w:beforeAutospacing="0" w:line="240" w:lineRule="auto" w:after="0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ind w:firstLineChars="0"/>
      </w:pPr>
      <w:r>
        <w:rPr>
          <w:rFonts w:ascii="宋体" w:hAnsi="宋体" w:eastAsia="宋体" w:cs="宋体"/>
          <w:b/>
          <w:color w:val="000000"/>
          <w:sz w:val="32"/>
        </w:rPr>
        <w:t>青禾公共书房网络化运营与更新规划书</w:t>
      </w:r>
    </w:p>
    <w:p w14:paraId="409746D0">
      <w:pPr>
        <w:jc w:val="center"/>
        <w:rPr>
          <w:rFonts w:hint="default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keepNext w:val="0"/>
        <w:pageBreakBefore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黑体" w:hAnsi="黑体" w:eastAsia="黑体" w:cs="黑体"/>
          <w:b/>
          <w:color w:val="000000"/>
          <w:sz w:val="28"/>
        </w:rPr>
        <w:t>摘要</w:t>
      </w:r>
    </w:p>
    <w:bookmarkEnd w:id="0"/>
    <w:p w14:paraId="064DA938">
      <w:pPr>
        <w:pStyle w:val="2"/>
        <w:keepNext/>
        <w:keepLines/>
        <w:pageBreakBefore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Lines="50" w:beforeAutospacing="0" w:line="240" w:lineRule="auto" w:after="0"/>
        <w:jc w:val="left"/>
        <w:textAlignment w:val="auto"/>
        <w:rPr>
          <w:rFonts w:hint="default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ind w:firstLineChars="0"/>
      </w:pPr>
      <w:r>
        <w:rPr>
          <w:rFonts w:ascii="黑体" w:hAnsi="黑体" w:eastAsia="黑体" w:cs="黑体"/>
          <w:b/>
          <w:color w:val="000000"/>
          <w:sz w:val="30"/>
        </w:rPr>
        <w:t>一、项目定位与服务原则</w:t>
      </w:r>
    </w:p>
    <w:p w14:paraId="3D7C3357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rPr>
          <w:rFonts w:hint="default"/>
          <w:b w:val="0"/>
          <w:bCs w:val="0"/>
          <w:sz w:val="30"/>
          <w:szCs w:val="30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（一）公共阅读空间的建设背景</w:t>
      </w:r>
    </w:p>
    <w:p w14:paraId="68FF6E05">
      <w:pPr>
        <w:pStyle w:val="4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25" w:beforeAutospacing="0" w:line="240" w:lineRule="auto" w:after="0"/>
        <w:ind w:left="0" w:leftChars="0" w:firstLineChars="0"/>
        <w:jc w:val="left"/>
        <w:textAlignment w:val="auto"/>
        <w:outlineLvl w:val="1"/>
        <w:rPr>
          <w:rFonts w:hint="eastAsia" w:eastAsia="黑体"/>
          <w:b w:val="0"/>
          <w:bCs w:val="0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b w:val="0"/>
          <w:color w:val="000000"/>
          <w:sz w:val="24"/>
        </w:rPr>
        <w:t>1.城市文化消费与邻里阅读需求</w:t>
      </w:r>
    </w:p>
    <w:p w14:paraId="3D4AA5FD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18个服务节点、2类核心场景，阶段满意度约为65%，一般问题在7天内完成闭环。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</w:t>
      </w:r>
    </w:p>
    <w:p w14:paraId="03CDFA04">
      <w:pPr>
        <w:pStyle w:val="5"/>
        <w:keepNext/>
        <w:keepLines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Lines="25" w:beforeAutospacing="0" w:line="240" w:lineRule="auto" w:after="0"/>
        <w:ind w:left="-2" w:leftChars="0" w:firstLineChars="0"/>
        <w:jc w:val="left"/>
        <w:textAlignment w:val="auto"/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 w:val="0"/>
          <w:color w:val="000000"/>
          <w:sz w:val="24"/>
        </w:rPr>
        <w:t>（1）公共书房网络的服务对象与覆盖逻辑</w:t>
      </w:r>
    </w:p>
    <w:p w14:paraId="787908FA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本轮记录覆盖25个服务节点、3类核心场景，阶段满意度约为68%，一般问题在8天内完成闭环。</w:t>
      </w:r>
    </w:p>
    <w:p w14:paraId="1CDBB037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32个服务节点、4类核心场景，阶段满意度约为71%，一般问题在9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活动设计应避免单纯追求数量，重点关注读者是否愿意再次参加、是否产生持续阅读行为、是否带动家庭成员共同使用空间。</w:t>
      </w:r>
    </w:p>
    <w:p w14:paraId="1D99E0A1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39个服务节点、5类核心场景，阶段满意度约为74%，一般问题在10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活动设计应避免单纯追求数量，重点关注读者是否愿意再次参加、是否产生持续阅读行为、是否带动家庭成员共同使用空间。</w:t>
      </w:r>
      <w:bookmarkEnd w:id="4"/>
    </w:p>
    <w:p w14:paraId="0135C7AF">
      <w:pPr>
        <w:pStyle w:val="5"/>
        <w:keepNext/>
        <w:keepLines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Lines="25" w:beforeAutospacing="0" w:line="240" w:lineRule="auto" w:after="0"/>
        <w:ind w:left="-2" w:leftChars="0" w:firstLineChars="0"/>
        <w:jc w:val="left"/>
        <w:textAlignment w:val="auto"/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 w:val="0"/>
          <w:color w:val="000000"/>
          <w:sz w:val="24"/>
        </w:rPr>
        <w:t>（2）小型文化空间的日常运营问题与改进方向</w:t>
      </w:r>
    </w:p>
    <w:p w14:paraId="1299D380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运营目标与价值说明。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本轮记录覆盖46个服务节点、6类核心场景，阶段满意度约为77%，一般问题在11天内完成闭环。</w:t>
      </w:r>
    </w:p>
    <w:p w14:paraId="573AEE69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便民价值：提升近邻阅读与活动到达率，形成十五分钟文化生活圈。。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本轮记录覆盖53个服务节点、7类核心场景，阶段满意度约为80%，一般问题在12天内完成闭环。</w:t>
      </w:r>
    </w:p>
    <w:p w14:paraId="5B151B95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管理价值：用标准化流程串联空间、人员、设备与活动排期。。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本轮记录覆盖60个服务节点、8类核心场景，阶段满意度约为83%，一般问题在13天内完成闭环。物资管理采用低库存、快补给原则。</w:t>
      </w:r>
    </w:p>
    <w:p w14:paraId="3BB9D97B">
      <w:pPr>
        <w:pStyle w:val="5"/>
        <w:keepNext/>
        <w:keepLines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Lines="25" w:beforeAutospacing="0" w:line="240" w:lineRule="auto" w:after="0"/>
        <w:ind w:left="-2" w:leftChars="0" w:firstLineChars="0"/>
        <w:jc w:val="left"/>
        <w:textAlignment w:val="auto"/>
        <w:rPr>
          <w:rFonts w:hint="default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 w:val="0"/>
          <w:color w:val="000000"/>
          <w:sz w:val="24"/>
        </w:rPr>
        <w:t>（3）社区价值：让居民、学校和社群组织共同参与内容共创</w:t>
      </w:r>
    </w:p>
    <w:p w14:paraId="3C3CCE8F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default" w:ascii="宋体" w:hAnsi="宋体" w:eastAsia="宋体" w:cs="宋体"/>
          <w:b w:val="0"/>
          <w:bCs w:val="0"/>
          <w:color w:val="0000FF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物资管理采用低库存、快补给原则。常用耗材按周盘点，活动材料按场次核销，</w:t>
      </w:r>
    </w:p>
    <w:p w14:paraId="78D876C3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b w:val="0"/>
          <w:bCs w:val="0"/>
          <w:color w:val="0000FF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本轮记录覆盖74个服务节点、2类核心场景，阶段满意度约为89%，一般问题在15天内完成闭环。数据采集坚持必要、适度、可解释的原则，不收集与阅读服务无关的个人信息。</w:t>
      </w:r>
    </w:p>
    <w:p w14:paraId="36EBC6ED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eastAsia="宋体"/>
          <w:lang w:val="en-US" w:eastAsia="zh-CN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预算安排以运营稳定为先，优先保障人员值守、基础维护、图书更新、数字系统和安全巡检。</w:t>
      </w:r>
    </w:p>
    <w:p w14:paraId="06B4F3E4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rPr>
          <w:rFonts w:hint="default"/>
          <w:b w:val="0"/>
          <w:bCs w:val="0"/>
          <w:sz w:val="30"/>
          <w:szCs w:val="30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（二）术语说明与工作边界</w:t>
      </w:r>
    </w:p>
    <w:p w14:paraId="39103300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24个服务节点、4类核心场景，阶段满意度约为67%，一般问题在17天内完成闭环。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</w:t>
      </w:r>
    </w:p>
    <w:p w14:paraId="4E910193">
      <w:pPr>
        <w:pStyle w:val="4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25" w:beforeAutospacing="0" w:line="240" w:lineRule="auto" w:after="0"/>
        <w:ind w:left="0" w:leftChars="0" w:firstLineChars="0"/>
        <w:jc w:val="left"/>
        <w:textAlignment w:val="auto"/>
        <w:outlineLvl w:val="1"/>
        <w:rPr>
          <w:rFonts w:hint="eastAsia" w:eastAsia="黑体"/>
          <w:b w:val="0"/>
          <w:bCs w:val="0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b w:val="0"/>
          <w:color w:val="000000"/>
          <w:sz w:val="24"/>
        </w:rPr>
        <w:t>1.公共书房、共享书架与活动微站的定义</w:t>
      </w:r>
    </w:p>
    <w:p w14:paraId="4A8B64CF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31个服务节点、5类核心场景，阶段满意度约为70%，一般问题在7天内完成闭环。物资管理采用低库存、快补给原则。常用耗材按周盘点，活动材料按场次核销，设备维修按紧急程度分为即时处理、三日内处理和月度集中处理三类。这样既能减少浪费，也能避免因缺少小物件影响活动执行。本方案围绕公共书房的连续开放、活动排期、读者服务和空间维护展开，重点解决小型文化空间在日常管理中常见的排班不均、设备闲置、活动重复和服务反馈滞后等问题。</w:t>
      </w:r>
    </w:p>
    <w:p w14:paraId="5512B08D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rPr>
          <w:rFonts w:hint="eastAsia"/>
          <w:b w:val="0"/>
          <w:bCs w:val="0"/>
          <w:sz w:val="30"/>
          <w:szCs w:val="30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（三）行业经验与本地实践参考</w:t>
      </w:r>
    </w:p>
    <w:p w14:paraId="201C35EE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38个服务节点、6类核心场景，阶段满意度约为73%，一般问题在8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物资管理采用低库存、快补给原则。常用耗材按周盘点，活动材料按场次核销，设备维修按紧急程度分为即时处理、三日内处理和月度集中处理三类。这样既能减少浪费，也能避免因缺少小物件影响活动执行。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物资管理采用低库存、快补给原则。</w:t>
      </w:r>
    </w:p>
    <w:p w14:paraId="24CB6D01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rPr>
          <w:rFonts w:hint="eastAsia"/>
          <w:b w:val="0"/>
          <w:bCs w:val="0"/>
          <w:sz w:val="30"/>
          <w:szCs w:val="30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（四）邻里阅读空间的运营模式</w:t>
      </w:r>
    </w:p>
    <w:p w14:paraId="64FF1B39">
      <w:pPr>
        <w:pStyle w:val="4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25" w:beforeAutospacing="0" w:line="240" w:lineRule="auto" w:after="0"/>
        <w:ind w:left="0" w:leftChars="0" w:firstLineChars="0"/>
        <w:jc w:val="left"/>
        <w:textAlignment w:val="auto"/>
        <w:outlineLvl w:val="1"/>
        <w:rPr>
          <w:rFonts w:hint="eastAsia" w:eastAsia="黑体"/>
          <w:b w:val="0"/>
          <w:bCs w:val="0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b w:val="0"/>
          <w:color w:val="000000"/>
          <w:sz w:val="24"/>
        </w:rPr>
        <w:t>1.夜间文化服务与亲子活动研究</w:t>
      </w:r>
    </w:p>
    <w:p w14:paraId="7BD64A82">
      <w:pPr>
        <w:pStyle w:val="8"/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ascii="宋体" w:hAnsi="宋体" w:eastAsia="宋体" w:cs="宋体"/>
          <w:color w:val="0000FF"/>
          <w:sz w:val="24"/>
          <w:szCs w:val="24"/>
        </w:rPr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  <w:szCs w:val="24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</w:t>
      </w:r>
    </w:p>
    <w:p w14:paraId="609AA5C8">
      <w:pPr>
        <w:pStyle w:val="8"/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ascii="宋体" w:hAnsi="宋体" w:eastAsia="宋体" w:cs="宋体"/>
          <w:color w:val="0000FF"/>
          <w:sz w:val="24"/>
          <w:szCs w:val="24"/>
        </w:rPr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  <w:szCs w:val="24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</w:t>
      </w:r>
    </w:p>
    <w:p w14:paraId="6AA5012C">
      <w:pPr>
        <w:pStyle w:val="8"/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ascii="宋体" w:hAnsi="宋体" w:eastAsia="宋体" w:cs="宋体"/>
          <w:color w:val="0000FF"/>
          <w:sz w:val="24"/>
          <w:szCs w:val="24"/>
        </w:rPr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  <w:szCs w:val="24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本轮记录覆盖59个服务节点、9类核心场景，阶段满意度约为82%，一般问题在11天内完成闭环。</w:t>
      </w:r>
    </w:p>
    <w:p w14:paraId="03AF122D">
      <w:pPr>
        <w:pStyle w:val="8"/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ascii="宋体" w:hAnsi="宋体" w:eastAsia="宋体" w:cs="宋体"/>
          <w:color w:val="0000FF"/>
          <w:sz w:val="24"/>
          <w:szCs w:val="24"/>
        </w:rPr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  <w:szCs w:val="24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66个服务节点、2类核心场景，阶段满意度约为85%，一般问题在12天内完成闭环。物资管理采用低库存、快补给原则。常用耗材按周盘点，活动材料按场次核销，设备维修按紧急程度分为即时处理、三日内处理和月度集中处理三类。这样既能减少浪费，也能避免因缺少小物件影响活动执行。</w:t>
      </w:r>
    </w:p>
    <w:p w14:paraId="69520C5E">
      <w:pPr>
        <w:pStyle w:val="8"/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  <w:szCs w:val="24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</w:t>
      </w:r>
    </w:p>
    <w:p w14:paraId="0BF5C514">
      <w:pPr>
        <w:keepNext/>
        <w:keepLines/>
        <w:numPr>
          <w:ilvl w:val="0"/>
          <w:numId w:val="0"/>
        </w:numPr>
        <w:spacing w:beforeLines="0" w:after="0" w:line="240" w:lineRule="auto"/>
        <w:jc w:val="center"/>
        <w:rPr>
          <w:rFonts w:hint="eastAsia"/>
          <w:lang w:val="en-US" w:eastAsia="zh-CN"/>
        </w:rPr>
        <w:ind w:firstLineChars="0"/>
      </w:pPr>
      <w:r>
        <w:rPr>
          <w:rFonts w:hint="eastAsia"/>
          <w:lang w:val="en-US" w:eastAsia="zh-CN"/>
        </w:rPr>
        <w:drawing>
          <wp:inline distT="0" distB="0" distL="114300" distR="114300">
            <wp:extent cx="5471795" cy="6669405"/>
            <wp:effectExtent l="0" t="0" r="14605" b="5715"/>
            <wp:docPr id="11" name="图片 11" descr="1773564542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735645425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66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1  公共书房活动流程图</w:t>
      </w:r>
    </w:p>
    <w:p w14:paraId="20EDC146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rPr>
          <w:rFonts w:hint="default"/>
          <w:b w:val="0"/>
          <w:bCs w:val="0"/>
          <w:sz w:val="30"/>
          <w:szCs w:val="30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（五）总体工作思路</w:t>
      </w:r>
    </w:p>
    <w:p w14:paraId="62693ABA">
      <w:pPr>
        <w:pStyle w:val="8"/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ascii="宋体" w:hAnsi="宋体" w:eastAsia="宋体" w:cs="宋体"/>
          <w:sz w:val="24"/>
          <w:szCs w:val="24"/>
        </w:rPr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  <w:szCs w:val="24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</w:t>
      </w:r>
    </w:p>
    <w:p w14:paraId="2F0C38F3">
      <w:pPr>
        <w:pStyle w:val="4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25" w:beforeAutospacing="0" w:line="240" w:lineRule="auto" w:after="0"/>
        <w:ind w:left="0" w:leftChars="0" w:firstLineChars="0"/>
        <w:jc w:val="lef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b w:val="0"/>
          <w:color w:val="000000"/>
          <w:sz w:val="24"/>
        </w:rPr>
        <w:t>1.空间盘点、需求访谈、模块设计与试运营复盘</w:t>
      </w:r>
    </w:p>
    <w:p w14:paraId="5535306D">
      <w:pPr>
        <w:pStyle w:val="8"/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ascii="宋体" w:hAnsi="宋体" w:eastAsia="宋体" w:cs="宋体"/>
          <w:color w:val="0000FF"/>
          <w:sz w:val="24"/>
          <w:szCs w:val="24"/>
        </w:rPr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  <w:szCs w:val="24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 本轮记录覆盖23个服务节点、5类核心场景，阶段满意度约为66%，一般问题在15天内完成闭环。</w:t>
      </w:r>
    </w:p>
    <w:p w14:paraId="38CDC6DA">
      <w:pPr>
        <w:pStyle w:val="4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25" w:beforeAutospacing="0" w:line="240" w:lineRule="auto" w:after="0"/>
        <w:ind w:left="0" w:leftChars="0" w:firstLineChars="0"/>
        <w:jc w:val="lef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b w:val="0"/>
          <w:color w:val="000000"/>
          <w:sz w:val="24"/>
        </w:rPr>
        <w:t>2.运营方法</w:t>
      </w:r>
    </w:p>
    <w:p w14:paraId="39983EB8">
      <w:pPr>
        <w:pStyle w:val="8"/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本轮记录覆盖30个服务节点、6类核心场景，阶段满意度约为69%，一般问题在16天内完成闭环。运营团队将每日开闭馆、借阅登记、场地巡检、活动签到、物资补充和意见反馈纳入同一张工作清单。</w:t>
      </w:r>
    </w:p>
    <w:p w14:paraId="00A63B9B">
      <w:pPr>
        <w:pStyle w:val="5"/>
        <w:keepNext/>
        <w:keepLines/>
        <w:pageBreakBefore w:val="0"/>
        <w:spacing w:beforeLines="25" w:after="0" w:line="240" w:lineRule="auto"/>
        <w:ind w:firstLineChars="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（1）现场踏勘与资产清查</w:t>
      </w:r>
    </w:p>
    <w:p w14:paraId="0E5A19AD">
      <w:pPr>
        <w:pStyle w:val="5"/>
        <w:keepNext/>
        <w:keepLines/>
        <w:pageBreakBefore w:val="0"/>
        <w:spacing w:beforeLines="25" w:after="0" w:line="240" w:lineRule="auto"/>
        <w:ind w:firstLineChars="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（2）读者访谈与社群共创</w:t>
      </w:r>
    </w:p>
    <w:p>
      <w:pPr>
        <w:jc w:val="both"/>
        <w:keepNext w:val="0"/>
        <w:keepLines w:val="0"/>
        <w:pageBreakBefore w:val="0"/>
        <w:spacing w:line="300" w:lineRule="auto" w:beforeLines="50" w:after="0"/>
        <w:ind w:firstLineChars="200"/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调研记录显示，读者更关注安静座位、灯光舒适度、图书更新速度、活动预约便利性以及儿童阅读区的安全性。</w:t>
      </w:r>
    </w:p>
    <w:p w14:paraId="6BC52A10">
      <w:pPr>
        <w:pStyle w:val="5"/>
        <w:keepNext/>
        <w:keepLines/>
        <w:pageBreakBefore w:val="0"/>
        <w:spacing w:beforeLines="25" w:after="0" w:line="240" w:lineRule="auto"/>
        <w:ind w:firstLineChars="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（3）客流统计与动线观察</w:t>
      </w:r>
    </w:p>
    <w:p w14:paraId="331C5293">
      <w:pPr>
        <w:pStyle w:val="5"/>
        <w:keepNext/>
        <w:keepLines/>
        <w:pageBreakBefore w:val="0"/>
        <w:spacing w:beforeLines="25" w:after="0" w:line="240" w:lineRule="auto"/>
        <w:ind w:firstLineChars="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（4）服务质量评估</w:t>
      </w:r>
    </w:p>
    <w:p>
      <w:pPr>
        <w:jc w:val="both"/>
        <w:keepNext w:val="0"/>
        <w:keepLines w:val="0"/>
        <w:pageBreakBefore w:val="0"/>
        <w:spacing w:line="300" w:lineRule="auto" w:beforeLines="50" w:after="0"/>
        <w:ind w:firstLineChars="200"/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本轮记录覆盖44个服务节点、8类核心场景，阶段满意度约为75%，一般问题在7天内完成闭环。志愿者参与以轻任务为主，包括书架整理、活动引导、亲子阅读陪伴、旧书交换登记和社区故事收集。</w:t>
      </w:r>
    </w:p>
    <w:p w14:paraId="652A10EF">
      <w:pPr>
        <w:pStyle w:val="5"/>
        <w:keepNext/>
        <w:keepLines/>
        <w:pageBreakBefore w:val="0"/>
        <w:spacing w:beforeLines="25" w:after="0" w:line="240" w:lineRule="auto"/>
        <w:ind w:firstLineChars="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（5）情境化活动测试</w:t>
      </w:r>
    </w:p>
    <w:p w14:paraId="4949A0B2">
      <w:pPr>
        <w:pStyle w:val="3"/>
        <w:keepNext/>
        <w:keepLines/>
        <w:pageBreakBefore w:val="0"/>
        <w:spacing w:beforeLines="50" w:after="0" w:line="240" w:lineRule="auto"/>
        <w:ind w:firstLineChars="0"/>
        <w:jc w:val="left"/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ascii="黑体" w:hAnsi="黑体" w:eastAsia="黑体" w:cs="黑体"/>
          <w:b/>
          <w:color w:val="000000"/>
          <w:sz w:val="28"/>
        </w:rPr>
        <w:t>（六）规划创新点</w:t>
      </w:r>
    </w:p>
    <w:p>
      <w:pPr>
        <w:jc w:val="both"/>
        <w:keepNext w:val="0"/>
        <w:keepLines w:val="0"/>
        <w:pageBreakBefore w:val="0"/>
        <w:spacing w:line="300" w:lineRule="auto" w:beforeLines="50" w:after="0"/>
        <w:ind w:firstLineChars="200"/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本轮记录覆盖51个服务节点、9类核心场景，阶段满意度约为78%，一般问题在8天内完成闭环。物资管理采用低库存、快补给原则。</w:t>
      </w:r>
    </w:p>
    <w:bookmarkEnd w:id="8"/>
    <w:p w14:paraId="782654D5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rPr>
          <w:rFonts w:hint="eastAsia"/>
          <w:b w:val="0"/>
          <w:bCs w:val="0"/>
          <w:sz w:val="30"/>
          <w:szCs w:val="30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（七）从单点开放转向网络化协同</w:t>
      </w:r>
    </w:p>
    <w:p w14:paraId="09D7862D">
      <w:pPr>
        <w:pStyle w:val="4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25" w:beforeAutospacing="0" w:line="240" w:lineRule="auto" w:after="0"/>
        <w:jc w:val="left"/>
        <w:textAlignment w:val="auto"/>
        <w:outlineLvl w:val="1"/>
        <w:rPr>
          <w:rFonts w:hint="eastAsia" w:eastAsia="黑体"/>
          <w:b w:val="0"/>
          <w:bCs w:val="0"/>
          <w:sz w:val="28"/>
          <w:szCs w:val="28"/>
          <w:lang w:val="zh-CN" w:eastAsia="zh-CN"/>
        </w:rPr>
        <w:ind w:firstLineChars="0"/>
      </w:pPr>
      <w:r>
        <w:rPr>
          <w:rFonts w:ascii="宋体" w:hAnsi="宋体" w:eastAsia="宋体" w:cs="宋体"/>
          <w:b w:val="0"/>
          <w:color w:val="000000"/>
          <w:sz w:val="24"/>
        </w:rPr>
        <w:t>1.从人工经验转向数据驱动排班</w:t>
      </w:r>
    </w:p>
    <w:p w14:paraId="042F1401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58个服务节点、2类核心场景，阶段满意度约为81%，一般问题在9天内完成闭环。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</w:t>
      </w:r>
    </w:p>
    <w:p w14:paraId="20DDE4AD">
      <w:pPr>
        <w:pStyle w:val="5"/>
        <w:keepNext/>
        <w:keepLines/>
        <w:pageBreakBefore w:val="0"/>
        <w:widowControl/>
        <w:suppressLineNumbers w:val="0"/>
        <w:spacing w:beforeLines="25" w:beforeAutospacing="1" w:after="0" w:afterAutospacing="1" w:line="240" w:lineRule="auto"/>
        <w:ind w:left="0" w:right="0" w:firstLineChars="0"/>
        <w:jc w:val="left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（1）调研目标</w:t>
      </w:r>
    </w:p>
    <w:p w14:paraId="0B50D4D6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本轮记录覆盖65个服务节点、3类核心场景，阶段满意度约为84%，一般问题在10天内完成闭环。本方案围绕公共书房的连续开放、活动排期、读者服务和空间维护展开</w:t>
      </w:r>
      <w:bookmarkStart w:id="24" w:name="_Toc24408"/>
    </w:p>
    <w:p w14:paraId="673EE6DF">
      <w:pPr>
        <w:pStyle w:val="5"/>
        <w:keepNext/>
        <w:keepLines/>
        <w:pageBreakBefore w:val="0"/>
        <w:widowControl/>
        <w:suppressLineNumbers w:val="0"/>
        <w:spacing w:beforeLines="25" w:beforeAutospacing="1" w:after="0" w:afterAutospacing="1" w:line="240" w:lineRule="auto"/>
        <w:ind w:left="0" w:right="0" w:firstLineChars="0"/>
        <w:jc w:val="left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zh-CN" w:eastAsia="zh-CN" w:bidi="ar-SA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（2）调研对象与范围</w:t>
      </w:r>
    </w:p>
    <w:p w14:paraId="647808B3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72个服务节点、4类核心场景，阶段满意度约为87%，一般问题在11天内完成闭环。物资管理采用低库存、快补给原则。常用耗材按周盘点，活动材料按场次核销，设备维修按紧急程度分为即时处理、三日内处理和月度集中处理三类。这样既能减少浪费，也能避免因缺少小物件影响活动执行。</w:t>
      </w:r>
    </w:p>
    <w:p w14:paraId="6E526FD0">
      <w:pPr>
        <w:pStyle w:val="5"/>
        <w:keepNext/>
        <w:keepLines/>
        <w:pageBreakBefore w:val="0"/>
        <w:widowControl/>
        <w:suppressLineNumbers w:val="0"/>
        <w:spacing w:beforeLines="25" w:beforeAutospacing="1" w:after="0" w:afterAutospacing="1" w:line="240" w:lineRule="auto"/>
        <w:ind w:left="0" w:right="0" w:firstLineChars="0"/>
        <w:jc w:val="left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zh-CN" w:eastAsia="zh-CN" w:bidi="ar-SA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（3）目标空间选择</w:t>
      </w:r>
    </w:p>
    <w:p w14:paraId="6CB09A27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 本轮记录覆盖79个服务节点、5类核心场景，阶段满意度约为90%，一般问题在12天内完成闭环。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数据采集坚持必要、适度、可解释的原则，不收集与阅读服务无关的个人信息。</w:t>
      </w:r>
      <w:bookmarkStart w:id="26" w:name="_Toc4353"/>
    </w:p>
    <w:p w14:paraId="202286F0">
      <w:pPr>
        <w:pStyle w:val="6"/>
        <w:keepNext/>
        <w:keepLines/>
        <w:pageBreakBefore w:val="0"/>
        <w:widowControl/>
        <w:suppressLineNumbers w:val="0"/>
        <w:spacing w:beforeLines="25" w:beforeAutospacing="1" w:after="0" w:afterAutospacing="1" w:line="240" w:lineRule="auto"/>
        <w:ind w:left="0" w:right="0" w:firstLineChars="0"/>
        <w:jc w:val="left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1）社区型书房</w:t>
      </w:r>
    </w:p>
    <w:p w14:paraId="7DE88C5B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本轮记录覆盖22个服务节点、6类核心场景，阶段满意度约为65%，一般问题在13天内完成闭环。数据采集坚持必要、适度、可解释的原则，不收集与阅读服务无关的个人信息。</w:t>
      </w:r>
    </w:p>
    <w:p w14:paraId="3ED0DBD9">
      <w:pPr>
        <w:pStyle w:val="6"/>
        <w:keepNext/>
        <w:keepLines/>
        <w:pageBreakBefore w:val="0"/>
        <w:widowControl/>
        <w:suppressLineNumbers w:val="0"/>
        <w:spacing w:beforeLines="25" w:beforeAutospacing="1" w:after="0" w:afterAutospacing="1" w:line="240" w:lineRule="auto"/>
        <w:ind w:left="0" w:right="0" w:firstLineChars="0"/>
        <w:jc w:val="left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2）商街型书房</w:t>
      </w:r>
    </w:p>
    <w:p w14:paraId="0BDE07D2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 本轮记录覆盖29个服务节点、7类核心场景，阶段满意度约为68%，一般问题在14天内完成闭环。调研记录显示，读者更关注安静座位、灯光舒适度、图书更新速度、活动预约便利性以及儿童阅读区的安全性。</w:t>
      </w:r>
    </w:p>
    <w:p w14:paraId="5651C5DA">
      <w:pPr>
        <w:pStyle w:val="5"/>
        <w:keepNext/>
        <w:keepLines/>
        <w:pageBreakBefore w:val="0"/>
        <w:widowControl/>
        <w:suppressLineNumbers w:val="0"/>
        <w:spacing w:beforeLines="25" w:beforeAutospacing="1" w:after="0" w:afterAutospacing="1" w:line="240" w:lineRule="auto"/>
        <w:ind w:left="0" w:right="0" w:firstLineChars="0"/>
        <w:jc w:val="left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（4）调研方式</w:t>
      </w:r>
    </w:p>
    <w:p w14:paraId="63E543BC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本方案围绕公共书房的连续开放、活动排期、读者服务和空间维护展开，重点解决小型文化空间在日常管理中常见的排班不均、设备闲置、活动重复和服务反馈滞后等问题。</w:t>
      </w:r>
    </w:p>
    <w:p w14:paraId="0E5D271C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调研记录显示，读者更关注安静座位、灯光舒适度、图书更新速</w:t>
      </w:r>
    </w:p>
    <w:p w14:paraId="2CB5F981">
      <w:pPr>
        <w:pStyle w:val="6"/>
        <w:keepNext/>
        <w:keepLines/>
        <w:pageBreakBefore w:val="0"/>
        <w:widowControl/>
        <w:suppressLineNumbers w:val="0"/>
        <w:spacing w:beforeLines="25" w:beforeAutospacing="1" w:after="0" w:afterAutospacing="1" w:line="240" w:lineRule="auto"/>
        <w:ind w:left="0" w:right="0" w:firstLineChars="0"/>
        <w:jc w:val="left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1）试运营前测</w:t>
      </w:r>
    </w:p>
    <w:p w14:paraId="62206260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</w:t>
      </w:r>
    </w:p>
    <w:p w14:paraId="37B10CB8">
      <w:pPr>
        <w:pStyle w:val="6"/>
        <w:keepNext/>
        <w:keepLines/>
        <w:pageBreakBefore w:val="0"/>
        <w:widowControl/>
        <w:suppressLineNumbers w:val="0"/>
        <w:spacing w:beforeLines="25" w:beforeAutospacing="1" w:after="0" w:afterAutospacing="1" w:line="240" w:lineRule="auto"/>
        <w:ind w:left="0" w:right="0" w:firstLineChars="0"/>
        <w:jc w:val="left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2）实施过程</w:t>
      </w:r>
    </w:p>
    <w:p w14:paraId="7720BF69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</w:t>
      </w:r>
    </w:p>
    <w:p w14:paraId="27D4C507">
      <w:pPr>
        <w:pStyle w:val="6"/>
        <w:keepNext/>
        <w:keepLines/>
        <w:pageBreakBefore w:val="0"/>
        <w:widowControl/>
        <w:suppressLineNumbers w:val="0"/>
        <w:spacing w:beforeLines="25" w:beforeAutospacing="1" w:after="0" w:afterAutospacing="1" w:line="240" w:lineRule="auto"/>
        <w:ind w:left="0" w:right="0" w:firstLineChars="0"/>
        <w:jc w:val="left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3）前测作用</w:t>
      </w:r>
    </w:p>
    <w:p w14:paraId="725C5F97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</w:t>
      </w:r>
    </w:p>
    <w:p w14:paraId="6F207005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为提升服务的真实可达性，方案建议在社区公告栏、学校门口、商街转角和线上小程序同步发布开放时间、活动日历与预约规则。</w:t>
      </w:r>
    </w:p>
    <w:p w14:paraId="3B2075CC">
      <w:pPr>
        <w:pStyle w:val="5"/>
        <w:keepNext/>
        <w:keepLines/>
        <w:pageBreakBefore w:val="0"/>
        <w:widowControl/>
        <w:suppressLineNumbers w:val="0"/>
        <w:spacing w:beforeLines="25" w:beforeAutospacing="1" w:after="0" w:afterAutospacing="1" w:line="240" w:lineRule="auto"/>
        <w:ind w:left="0" w:right="0" w:firstLineChars="0"/>
        <w:jc w:val="left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（5）数据整理</w:t>
      </w:r>
    </w:p>
    <w:p w14:paraId="588629F8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rPr>
          <w:color w:val="0000FF"/>
        </w:rPr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78个服务节点、6类核心场景，阶段满意度约为89%，一般问题在10天内完成闭环。物资管理采用低库存、快补给原则。常用耗材按周盘点，活动材料按场次核销，设备维修按紧急程度分为即时处理、三日内处理和月度集中处理三类。这样既能减少浪费，也能避免因缺少小物件影响活动执行。</w:t>
      </w:r>
    </w:p>
    <w:p w14:paraId="21818E97">
      <w:pPr>
        <w:pStyle w:val="6"/>
        <w:keepNext/>
        <w:keepLines/>
        <w:pageBreakBefore w:val="0"/>
        <w:widowControl/>
        <w:suppressLineNumbers w:val="0"/>
        <w:spacing w:beforeLines="25" w:beforeAutospacing="1" w:after="0" w:afterAutospacing="1" w:line="240" w:lineRule="auto"/>
        <w:ind w:left="0" w:right="0" w:firstLineChars="0"/>
        <w:jc w:val="left"/>
        <w:rPr>
          <w:color w:val="0000FF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1）记录清洗</w:t>
      </w:r>
    </w:p>
    <w:p w14:paraId="0A0B8EBD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rPr>
          <w:rFonts w:hint="eastAsia" w:ascii="Calibri" w:hAnsi="Calibri" w:eastAsia="黑体" w:cstheme="minorBidi"/>
          <w:b w:val="0"/>
          <w:bCs w:val="0"/>
          <w:kern w:val="2"/>
          <w:sz w:val="30"/>
          <w:szCs w:val="30"/>
          <w:lang w:val="en-US" w:eastAsia="zh-CN" w:bidi="ar-SA"/>
        </w:rPr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 本轮记录覆盖21个服务节点、7类核心场景，阶段满意度约为92%，一般问题在11天内完成闭环。</w:t>
      </w:r>
      <w:bookmarkStart w:id="29" w:name="_Toc4957"/>
    </w:p>
    <w:bookmarkEnd w:id="29"/>
    <w:p w14:paraId="730CA65C">
      <w:pPr>
        <w:pStyle w:val="6"/>
        <w:keepNext/>
        <w:keepLines/>
        <w:pageBreakBefore w:val="0"/>
        <w:widowControl/>
        <w:suppressLineNumbers w:val="0"/>
        <w:spacing w:beforeLines="25" w:beforeAutospacing="1" w:after="0" w:afterAutospacing="1" w:line="240" w:lineRule="auto"/>
        <w:ind w:left="0" w:right="0" w:firstLineChars="0"/>
        <w:jc w:val="left"/>
        <w:rPr>
          <w:rFonts w:hint="eastAsia"/>
          <w:color w:val="auto"/>
          <w:lang w:val="en-US" w:eastAsia="zh-CN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2）可靠性核验</w:t>
      </w:r>
    </w:p>
    <w:p w14:paraId="391156AD">
      <w:pPr>
        <w:keepNext w:val="0"/>
        <w:keepLines w:val="0"/>
        <w:pageBreakBefore w:val="0"/>
        <w:widowControl/>
        <w:spacing w:beforeLines="50" w:after="0" w:line="300" w:lineRule="auto"/>
        <w:ind w:firstLineChars="200"/>
        <w:jc w:val="both"/>
        <w:rPr>
          <w:rFonts w:ascii="宋体" w:hAnsi="宋体" w:eastAsia="宋体" w:cs="宋体"/>
          <w:kern w:val="0"/>
          <w:sz w:val="24"/>
          <w:lang w:bidi="ar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本轮记录覆盖28个服务节点、8类核心场景，阶段满意度约为67%，一般问题在12天内完成闭环。</w:t>
      </w:r>
    </w:p>
    <w:p w14:paraId="5157944C">
      <w:pPr>
        <w:pStyle w:val="5"/>
        <w:keepNext/>
        <w:keepLines/>
        <w:pageBreakBefore w:val="0"/>
        <w:widowControl/>
        <w:suppressLineNumbers w:val="0"/>
        <w:spacing w:beforeLines="25" w:beforeAutospacing="1" w:after="0" w:afterAutospacing="1" w:line="240" w:lineRule="auto"/>
        <w:ind w:left="0" w:right="0" w:firstLineChars="0"/>
        <w:jc w:val="left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（6）方案调整</w:t>
      </w:r>
    </w:p>
    <w:p w14:paraId="2C8584A1">
      <w:pPr>
        <w:keepNext w:val="0"/>
        <w:keepLines w:val="0"/>
        <w:pageBreakBefore w:val="0"/>
        <w:widowControl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kern w:val="0"/>
          <w:sz w:val="24"/>
          <w:lang w:bidi="ar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预算安排以运营稳定为先，优先保障人员值守、基础维护、图书更新、数字系统和安全巡检。</w:t>
      </w:r>
    </w:p>
    <w:p w14:paraId="460B5AC5">
      <w:pPr>
        <w:pStyle w:val="6"/>
        <w:keepNext/>
        <w:keepLines/>
        <w:pageBreakBefore w:val="0"/>
        <w:widowControl/>
        <w:spacing w:beforeLines="25" w:after="0" w:line="240" w:lineRule="auto"/>
        <w:ind w:firstLineChars="0"/>
        <w:jc w:val="left"/>
        <w:rPr>
          <w:rFonts w:hint="eastAsia" w:ascii="宋体" w:hAnsi="宋体" w:eastAsia="宋体" w:cs="宋体"/>
          <w:kern w:val="0"/>
          <w:sz w:val="24"/>
          <w:lang w:bidi="ar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1）空间类型划分</w:t>
      </w:r>
    </w:p>
    <w:p>
      <w:pPr>
        <w:jc w:val="both"/>
        <w:keepNext w:val="0"/>
        <w:keepLines w:val="0"/>
        <w:pageBreakBefore w:val="0"/>
        <w:spacing w:line="300" w:lineRule="auto" w:beforeLines="50" w:after="0"/>
        <w:ind w:firstLineChars="200"/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本方案围绕公共书房的连续开放、活动排期、读者服务和空间维护展开，</w:t>
      </w:r>
    </w:p>
    <w:p w14:paraId="464CA834">
      <w:pPr>
        <w:pStyle w:val="6"/>
        <w:keepNext/>
        <w:keepLines/>
        <w:pageBreakBefore w:val="0"/>
        <w:widowControl/>
        <w:spacing w:beforeLines="25" w:after="0" w:line="240" w:lineRule="auto"/>
        <w:ind w:firstLineChars="0"/>
        <w:jc w:val="left"/>
        <w:rPr>
          <w:rFonts w:hint="eastAsia" w:ascii="宋体" w:hAnsi="宋体" w:eastAsia="宋体" w:cs="宋体"/>
          <w:kern w:val="0"/>
          <w:sz w:val="24"/>
          <w:lang w:bidi="ar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2）样本点选择说明</w:t>
      </w:r>
    </w:p>
    <w:p>
      <w:pPr>
        <w:jc w:val="both"/>
        <w:keepNext w:val="0"/>
        <w:keepLines w:val="0"/>
        <w:pageBreakBefore w:val="0"/>
        <w:spacing w:line="300" w:lineRule="auto" w:beforeLines="50" w:after="0"/>
        <w:ind w:firstLineChars="200"/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调研记录显示，读者更关注安静座位、灯光舒适度、图书更新速度、活动预约便利性以及儿童阅读区的安全性。</w:t>
      </w:r>
    </w:p>
    <w:p w14:paraId="4FB210C1">
      <w:pPr>
        <w:pStyle w:val="4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25" w:beforeAutospacing="0" w:line="240" w:lineRule="auto" w:after="0"/>
        <w:ind w:left="0" w:leftChars="0" w:firstLineChars="0"/>
        <w:jc w:val="left"/>
        <w:textAlignment w:val="auto"/>
        <w:outlineLvl w:val="1"/>
        <w:rPr>
          <w:rFonts w:hint="eastAsia" w:ascii="Calibri" w:hAnsi="Calibri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ascii="宋体" w:hAnsi="宋体" w:eastAsia="宋体" w:cs="宋体"/>
          <w:b w:val="0"/>
          <w:color w:val="000000"/>
          <w:sz w:val="24"/>
        </w:rPr>
        <w:t>2.数据收集方式</w:t>
      </w:r>
    </w:p>
    <w:p w14:paraId="29B9B3FC">
      <w:pPr>
        <w:pStyle w:val="5"/>
        <w:keepNext/>
        <w:keepLines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Lines="25" w:beforeAutospacing="0" w:line="240" w:lineRule="auto" w:after="0"/>
        <w:ind w:left="-2" w:leftChars="0" w:firstLineChars="0"/>
        <w:jc w:val="left"/>
        <w:textAlignment w:val="auto"/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 w:val="0"/>
          <w:color w:val="000000"/>
          <w:sz w:val="24"/>
        </w:rPr>
        <w:t>（1）运营数据与读者画像</w:t>
      </w:r>
    </w:p>
    <w:p w14:paraId="673D7B2E">
      <w:pPr>
        <w:keepNext w:val="0"/>
        <w:keepLines w:val="0"/>
        <w:pageBreakBefore w:val="0"/>
        <w:widowControl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本轮记录覆盖56个服务节点、4类核心场景，阶段满意度约为79%，一般问题在16天内完成闭环。</w:t>
      </w:r>
    </w:p>
    <w:p w14:paraId="0C3339D8">
      <w:pPr>
        <w:keepNext w:val="0"/>
        <w:keepLines w:val="0"/>
        <w:pageBreakBefore w:val="0"/>
        <w:widowControl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kern w:val="0"/>
          <w:sz w:val="24"/>
          <w:szCs w:val="24"/>
          <w:lang w:val="zh-CN" w:eastAsia="zh-CN" w:bidi="ar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运营团队将每日开闭馆、借阅登记、场地巡检、活动签到、物资补充和意见反馈纳入同一张工作清单。</w:t>
      </w:r>
    </w:p>
    <w:p w14:paraId="16D53233">
      <w:pPr>
        <w:keepNext w:val="0"/>
        <w:keepLines w:val="0"/>
        <w:pageBreakBefore w:val="0"/>
        <w:widowControl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数据处理：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</w:t>
      </w:r>
    </w:p>
    <w:p w14:paraId="6BB74A73">
      <w:pPr>
        <w:pStyle w:val="5"/>
        <w:keepNext/>
        <w:keepLines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Lines="25" w:beforeAutospacing="0" w:line="240" w:lineRule="auto" w:after="0"/>
        <w:ind w:left="-2" w:leftChars="0" w:firstLineChars="0"/>
        <w:jc w:val="left"/>
        <w:textAlignment w:val="auto"/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 w:val="0"/>
          <w:color w:val="000000"/>
          <w:sz w:val="24"/>
        </w:rPr>
        <w:t>（2）一般描述性统计</w:t>
      </w:r>
    </w:p>
    <w:p w14:paraId="52781619">
      <w:pPr>
        <w:pStyle w:val="6"/>
        <w:keepNext/>
        <w:keepLines/>
        <w:pageBreakBefore w:val="0"/>
        <w:numPr>
          <w:ilvl w:val="0"/>
          <w:numId w:val="0"/>
        </w:numPr>
        <w:spacing w:beforeLines="25" w:after="0" w:line="240" w:lineRule="auto"/>
        <w:ind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 w:val="0"/>
          <w:color w:val="000000"/>
          <w:sz w:val="24"/>
        </w:rPr>
        <w:t>1）读者年龄分布特征</w:t>
      </w:r>
    </w:p>
    <w:p w14:paraId="1047B39F">
      <w:pPr>
        <w:keepNext w:val="0"/>
        <w:keepLines w:val="0"/>
        <w:pageBreakBefore w:val="0"/>
        <w:widowControl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本轮记录覆盖77个服务节点、7类核心场景，阶段满意度约为88%，一般问题在8天内完成闭环。预算安排以运营稳定为先，优先保障人员值守、基础维护、图书更新、数字系统和安全巡检。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1  公共书房运营指标表</w:t>
      </w:r>
    </w:p>
    <w:tbl>
      <w:tblPr>
        <w:tblStyle w:val="10"/>
        <w:tblW w:w="4998" w:type="pct"/>
        <w:tblInd w:w="0" w:type="dxa"/>
        <w:tblBorders>
          <w:top w:val="single" w:color="000000" w:themeColor="text1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1375"/>
        <w:gridCol w:w="1536"/>
        <w:gridCol w:w="1375"/>
        <w:gridCol w:w="1375"/>
        <w:gridCol w:w="1375"/>
      </w:tblGrid>
      <w:tr w14:paraId="19994E41">
        <w:tblPrEx>
          <w:tblBorders>
            <w:top w:val="single" w:color="000000" w:themeColor="text1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8" w:hRule="atLeast"/>
          <w:cantSplit/>
          <w:tblHeader/>
        </w:trPr>
        <w:tc>
          <w:tcPr>
            <w:tcW w:w="886" w:type="pct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4467FFC1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b/>
                <w:color w:val="000000"/>
                <w:sz w:val="24"/>
              </w:rPr>
              <w:t>序号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096570AE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vertAlign w:val="baseline"/>
              </w:rPr>
              <w:t>服务模块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405ECE16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vertAlign w:val="baseline"/>
              </w:rPr>
              <w:t>时段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3C941E39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vertAlign w:val="baseline"/>
              </w:rPr>
              <w:t>负责人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7E80BECC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vertAlign w:val="baseline"/>
              </w:rPr>
              <w:t>资源配置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3855D607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vertAlign w:val="baseline"/>
              </w:rPr>
              <w:t>验收口径</w:t>
            </w:r>
          </w:p>
        </w:tc>
      </w:tr>
      <w:tr w14:paraId="50DA1B45">
        <w:tblPrEx>
          <w:tblBorders>
            <w:top w:val="single" w:color="000000" w:themeColor="text1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8" w:hRule="atLeast"/>
          <w:cantSplit/>
        </w:trPr>
        <w:tc>
          <w:tcPr>
            <w:tcW w:w="886" w:type="pct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253CC8A0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numPr>
                <w:ilvl w:val="0"/>
                <w:numId w:val="0"/>
              </w:numPr>
            </w:pPr>
          </w:p>
          <w:p w14:paraId="076CE1D4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  <w:p w14:paraId="74A80C25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</w:p>
        </w:tc>
        <w:tc>
          <w:tcPr>
            <w:tcW w:w="822" w:type="pct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1D5847EE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</w:p>
          <w:p w14:paraId="2C19D3DD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旧书交换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42EA24CF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</w:p>
          <w:p w14:paraId="7A344A08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9:00-12:30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5BF0D4AA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</w:p>
          <w:p w14:paraId="7A0B2C68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馆员E组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18C0BA5F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</w:p>
          <w:p w14:paraId="248E1299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书册92册；活动材料9套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76243ACA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</w:p>
          <w:p w14:paraId="2B6C4D12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现场签到、巡检记录、满意度回收</w:t>
            </w:r>
          </w:p>
        </w:tc>
      </w:tr>
      <w:tr w14:paraId="3AF3AEA4">
        <w:tblPrEx>
          <w:tblBorders>
            <w:top w:val="single" w:color="000000" w:themeColor="text1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cantSplit/>
        </w:trPr>
        <w:tc>
          <w:tcPr>
            <w:tcW w:w="886" w:type="pct"/>
            <w:tcBorders>
              <w:top w:val="single" w:color="000000" w:sz="6" w:space="0"/>
              <w:bottom w:val="single" w:color="000000" w:sz="12" w:space="0"/>
            </w:tcBorders>
            <w:vAlign w:val="top"/>
          </w:tcPr>
          <w:p w14:paraId="51301C76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822" w:type="pct"/>
            <w:tcBorders>
              <w:top w:val="single" w:color="000000" w:sz="6" w:space="0"/>
              <w:bottom w:val="single" w:color="000000" w:sz="12" w:space="0"/>
            </w:tcBorders>
            <w:vAlign w:val="top"/>
          </w:tcPr>
          <w:p w14:paraId="57058218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主题书展</w:t>
            </w:r>
          </w:p>
        </w:tc>
        <w:tc>
          <w:tcPr>
            <w:tcW w:w="822" w:type="pct"/>
            <w:tcBorders>
              <w:top w:val="single" w:color="000000" w:sz="6" w:space="0"/>
              <w:bottom w:val="single" w:color="000000" w:sz="12" w:space="0"/>
            </w:tcBorders>
            <w:vAlign w:val="top"/>
          </w:tcPr>
          <w:p w14:paraId="4411674B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10:00-13:30</w:t>
            </w:r>
          </w:p>
        </w:tc>
        <w:tc>
          <w:tcPr>
            <w:tcW w:w="822" w:type="pct"/>
            <w:tcBorders>
              <w:top w:val="single" w:color="000000" w:sz="6" w:space="0"/>
              <w:bottom w:val="single" w:color="000000" w:sz="12" w:space="0"/>
            </w:tcBorders>
            <w:vAlign w:val="top"/>
          </w:tcPr>
          <w:p w14:paraId="5523E2EC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馆员F组</w:t>
            </w:r>
          </w:p>
        </w:tc>
        <w:tc>
          <w:tcPr>
            <w:tcW w:w="822" w:type="pct"/>
            <w:tcBorders>
              <w:top w:val="single" w:color="000000" w:sz="6" w:space="0"/>
              <w:bottom w:val="single" w:color="000000" w:sz="12" w:space="0"/>
            </w:tcBorders>
            <w:vAlign w:val="top"/>
          </w:tcPr>
          <w:p w14:paraId="2793F4F7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书册104册；活动材料10套</w:t>
            </w:r>
          </w:p>
        </w:tc>
        <w:tc>
          <w:tcPr>
            <w:tcW w:w="822" w:type="pct"/>
            <w:tcBorders>
              <w:top w:val="single" w:color="000000" w:sz="6" w:space="0"/>
              <w:bottom w:val="single" w:color="000000" w:sz="12" w:space="0"/>
            </w:tcBorders>
            <w:vAlign w:val="top"/>
          </w:tcPr>
          <w:p w14:paraId="4BDB2D9A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现场签到、巡检记录、满意度回收</w:t>
            </w:r>
          </w:p>
        </w:tc>
      </w:tr>
    </w:tbl>
    <w:p w14:paraId="184143DE">
      <w:pPr>
        <w:keepNext w:val="0"/>
        <w:keepLines w:val="0"/>
        <w:pageBreakBefore w:val="0"/>
        <w:widowControl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</w:rPr>
        <w:t>活动设计应避免单纯追求数量，重点关注读者是否愿意再次参加、是否产生持续阅读行为、是否带动家庭成员共同使用空间。</w:t>
      </w:r>
    </w:p>
    <w:p w14:paraId="429465E4">
      <w:pPr>
        <w:keepNext w:val="0"/>
        <w:keepLines w:val="0"/>
        <w:widowControl/>
        <w:spacing w:beforeLines="0" w:after="0" w:line="240" w:lineRule="auto"/>
        <w:jc w:val="left"/>
        <w:rPr>
          <w:rFonts w:hint="eastAsia" w:ascii="宋体" w:hAnsi="宋体" w:eastAsia="宋体" w:cs="宋体"/>
          <w:sz w:val="24"/>
        </w:rPr>
        <w:ind w:firstLineChars="0"/>
        <w:numPr>
          <w:ilvl w:val="0"/>
          <w:numId w:val="0"/>
        </w:numPr>
      </w:pPr>
    </w:p>
    <w:p w14:paraId="2C427AE0">
      <w:pPr>
        <w:pStyle w:val="14"/>
        <w:keepNext w:val="0"/>
        <w:keepLines w:val="0"/>
        <w:pageBreakBefore w:val="0"/>
        <w:numPr>
          <w:ilvl w:val="0"/>
          <w:numId w:val="0"/>
        </w:numPr>
        <w:spacing w:beforeLines="50" w:after="0" w:line="300" w:lineRule="auto"/>
        <w:ind w:left="0" w:leftChars="0" w:firstLineChars="20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物资管理采用低库存、快补给原则。常用耗材按周盘点，活动材料按场次核销，</w:t>
      </w:r>
    </w:p>
    <w:p w14:paraId="15DA8D3C">
      <w:pPr>
        <w:keepNext w:val="0"/>
        <w:keepLines w:val="0"/>
        <w:pageBreakBefore w:val="0"/>
        <w:widowControl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kern w:val="0"/>
          <w:sz w:val="24"/>
          <w:lang w:bidi="ar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本轮记录覆盖34个服务节点、2类核心场景，阶段满意度约为69%，一般问题在11天内完成闭环。数据采集坚持必要、适度、可解释的原则，不收集与阅读服务无关的个人信息。</w:t>
      </w:r>
    </w:p>
    <w:p w14:paraId="4EE17301">
      <w:pPr>
        <w:keepNext w:val="0"/>
        <w:keepLines w:val="0"/>
        <w:pageBreakBefore w:val="0"/>
        <w:widowControl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 本轮记录覆盖41个服务节点、3类核心场景，阶段满意度约为72%，一般问题在12天内完成闭环。调研记录显示，读者更关注安静座位、灯光舒适度、图书更新速度、活动预约便利性以及儿童阅读区的安全性。</w:t>
      </w:r>
    </w:p>
    <w:p w14:paraId="00A01736">
      <w:pPr>
        <w:keepNext w:val="0"/>
        <w:keepLines w:val="0"/>
        <w:widowControl/>
        <w:spacing w:beforeLines="0" w:after="0" w:line="240" w:lineRule="auto"/>
        <w:jc w:val="left"/>
        <w:rPr>
          <w:rFonts w:hint="eastAsia" w:ascii="宋体" w:hAnsi="宋体" w:eastAsia="宋体" w:cs="宋体"/>
          <w:sz w:val="24"/>
        </w:rPr>
        <w:ind w:firstLineChars="0"/>
        <w:numPr>
          <w:ilvl w:val="0"/>
          <w:numId w:val="0"/>
        </w:numPr>
      </w:pP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2  服务模块成熟度统计表</w:t>
      </w:r>
    </w:p>
    <w:tbl>
      <w:tblPr>
        <w:tblStyle w:val="10"/>
        <w:tblpPr w:leftFromText="180" w:rightFromText="180" w:vertAnchor="text" w:horzAnchor="page" w:tblpX="1808" w:tblpY="279"/>
        <w:tblOverlap w:val="never"/>
        <w:tblW w:w="4998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22"/>
        <w:gridCol w:w="1255"/>
        <w:gridCol w:w="1255"/>
        <w:gridCol w:w="1255"/>
        <w:gridCol w:w="1255"/>
        <w:gridCol w:w="1255"/>
      </w:tblGrid>
      <w:tr w14:paraId="3FA0ED5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8" w:type="pct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08E7916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b/>
                <w:color w:val="000000"/>
                <w:sz w:val="24"/>
              </w:rPr>
              <w:t>变量</w:t>
            </w:r>
          </w:p>
        </w:tc>
        <w:tc>
          <w:tcPr>
            <w:tcW w:w="658" w:type="pct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65A7333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b/>
                <w:color w:val="000000"/>
                <w:sz w:val="24"/>
              </w:rPr>
              <w:t>组别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CFB6D3F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vertAlign w:val="baseline"/>
              </w:rPr>
              <w:t>均值差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3A829B1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vertAlign w:val="baseline"/>
              </w:rPr>
              <w:t>标准误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6222611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vertAlign w:val="baseline"/>
              </w:rPr>
              <w:t>P值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8A7E2B9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vertAlign w:val="baseline"/>
              </w:rPr>
              <w:t>效应量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4EFB56B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vertAlign w:val="baseline"/>
              </w:rPr>
              <w:t>说明</w:t>
            </w:r>
          </w:p>
        </w:tc>
      </w:tr>
      <w:tr w14:paraId="31AB29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8" w:type="pct"/>
            <w:tcBorders>
              <w:top w:val="single" w:color="auto" w:sz="12" w:space="0"/>
              <w:bottom w:val="single" w:color="auto" w:sz="6" w:space="0"/>
            </w:tcBorders>
            <w:vAlign w:val="top"/>
          </w:tcPr>
          <w:p w14:paraId="055CE597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设备完好率</w:t>
            </w:r>
          </w:p>
          <w:p w14:paraId="5153895C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</w:p>
        </w:tc>
        <w:tc>
          <w:tcPr>
            <w:tcW w:w="658" w:type="pct"/>
            <w:tcBorders>
              <w:top w:val="single" w:color="auto" w:sz="12" w:space="0"/>
              <w:bottom w:val="single" w:color="auto" w:sz="6" w:space="0"/>
            </w:tcBorders>
            <w:vAlign w:val="top"/>
          </w:tcPr>
          <w:p w14:paraId="013C5976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组3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6" w:space="0"/>
            </w:tcBorders>
            <w:vAlign w:val="top"/>
          </w:tcPr>
          <w:p w14:paraId="2512A2AE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  <w:t>0.113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6" w:space="0"/>
            </w:tcBorders>
            <w:vAlign w:val="top"/>
          </w:tcPr>
          <w:p w14:paraId="537BB291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0.079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6" w:space="0"/>
            </w:tcBorders>
            <w:vAlign w:val="top"/>
          </w:tcPr>
          <w:p w14:paraId="4C8D08BD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0.054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6" w:space="0"/>
            </w:tcBorders>
            <w:vAlign w:val="top"/>
          </w:tcPr>
          <w:p w14:paraId="5C65282B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0.141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6" w:space="0"/>
            </w:tcBorders>
            <w:vAlign w:val="top"/>
          </w:tcPr>
          <w:p w14:paraId="4D71D851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差异较小</w:t>
            </w:r>
          </w:p>
        </w:tc>
      </w:tr>
      <w:tr w14:paraId="48D5A7C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8" w:type="pct"/>
            <w:vMerge w:val="restart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  <w:vAlign w:val="top"/>
          </w:tcPr>
          <w:p w14:paraId="62D00F8F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numPr>
                <w:ilvl w:val="0"/>
                <w:numId w:val="0"/>
              </w:numPr>
            </w:pPr>
          </w:p>
          <w:p w14:paraId="136DEFDC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numPr>
                <w:ilvl w:val="0"/>
                <w:numId w:val="0"/>
              </w:numPr>
            </w:pPr>
          </w:p>
          <w:p w14:paraId="21767B13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numPr>
                <w:ilvl w:val="0"/>
                <w:numId w:val="0"/>
              </w:numPr>
            </w:pPr>
          </w:p>
          <w:p w14:paraId="2B2831AC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读者满意度</w:t>
            </w:r>
          </w:p>
          <w:p w14:paraId="25414543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  <w:numPr>
                <w:ilvl w:val="0"/>
                <w:numId w:val="0"/>
              </w:numPr>
            </w:pPr>
          </w:p>
          <w:p w14:paraId="22D5313F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</w:p>
        </w:tc>
        <w:tc>
          <w:tcPr>
            <w:tcW w:w="658" w:type="pct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nil"/>
            </w:tcBorders>
            <w:vAlign w:val="top"/>
          </w:tcPr>
          <w:p w14:paraId="5BA3CAEA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组4</w:t>
            </w:r>
          </w:p>
          <w:p w14:paraId="3DD7C411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</w:p>
        </w:tc>
        <w:tc>
          <w:tcPr>
            <w:tcW w:w="736" w:type="pct"/>
            <w:tcBorders>
              <w:top w:val="single" w:color="auto" w:sz="6" w:space="0"/>
              <w:left w:val="nil"/>
              <w:bottom w:val="single" w:color="auto" w:sz="12" w:space="0"/>
              <w:right w:val="nil"/>
            </w:tcBorders>
            <w:vAlign w:val="top"/>
          </w:tcPr>
          <w:p w14:paraId="08217EB6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-0.231</w:t>
            </w:r>
          </w:p>
        </w:tc>
        <w:tc>
          <w:tcPr>
            <w:tcW w:w="736" w:type="pct"/>
            <w:tcBorders>
              <w:top w:val="single" w:color="auto" w:sz="6" w:space="0"/>
              <w:left w:val="nil"/>
              <w:bottom w:val="single" w:color="auto" w:sz="12" w:space="0"/>
              <w:right w:val="nil"/>
            </w:tcBorders>
            <w:vAlign w:val="top"/>
          </w:tcPr>
          <w:p w14:paraId="095205C7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0.142</w:t>
            </w:r>
          </w:p>
        </w:tc>
        <w:tc>
          <w:tcPr>
            <w:tcW w:w="736" w:type="pct"/>
            <w:tcBorders>
              <w:top w:val="single" w:color="auto" w:sz="6" w:space="0"/>
              <w:left w:val="nil"/>
              <w:bottom w:val="single" w:color="auto" w:sz="12" w:space="0"/>
              <w:right w:val="nil"/>
            </w:tcBorders>
            <w:vAlign w:val="top"/>
          </w:tcPr>
          <w:p w14:paraId="4CD8C8C3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0.021</w:t>
            </w:r>
          </w:p>
        </w:tc>
        <w:tc>
          <w:tcPr>
            <w:tcW w:w="736" w:type="pct"/>
            <w:tcBorders>
              <w:top w:val="single" w:color="auto" w:sz="6" w:space="0"/>
              <w:left w:val="nil"/>
              <w:bottom w:val="single" w:color="auto" w:sz="12" w:space="0"/>
              <w:right w:val="nil"/>
            </w:tcBorders>
            <w:vAlign w:val="top"/>
          </w:tcPr>
          <w:p w14:paraId="1E50D8A9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0.144</w:t>
            </w:r>
          </w:p>
        </w:tc>
        <w:tc>
          <w:tcPr>
            <w:tcW w:w="736" w:type="pct"/>
            <w:tcBorders>
              <w:top w:val="single" w:color="auto" w:sz="6" w:space="0"/>
              <w:left w:val="nil"/>
              <w:bottom w:val="single" w:color="auto" w:sz="12" w:space="0"/>
            </w:tcBorders>
            <w:vAlign w:val="top"/>
          </w:tcPr>
          <w:p w14:paraId="562B431B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建议分层运营</w:t>
            </w:r>
          </w:p>
        </w:tc>
      </w:tr>
      <w:tr w14:paraId="718E1DE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8" w:type="pct"/>
            <w:vMerge w:val="continue"/>
            <w:tcBorders>
              <w:top w:val="single" w:color="auto" w:sz="12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vAlign w:val="top"/>
          </w:tcPr>
          <w:p w14:paraId="35EB5096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预约履约率</w:t>
            </w:r>
          </w:p>
        </w:tc>
        <w:tc>
          <w:tcPr>
            <w:tcW w:w="6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nil"/>
            </w:tcBorders>
            <w:vAlign w:val="top"/>
          </w:tcPr>
          <w:p w14:paraId="19113390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组5</w:t>
            </w:r>
          </w:p>
          <w:p w14:paraId="20F720BC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numPr>
                <w:ilvl w:val="0"/>
                <w:numId w:val="0"/>
              </w:numPr>
            </w:pP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top"/>
          </w:tcPr>
          <w:p w14:paraId="36EAE3B9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0.243</w:t>
            </w: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top"/>
          </w:tcPr>
          <w:p w14:paraId="4BDC06A9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0.117</w:t>
            </w: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top"/>
          </w:tcPr>
          <w:p w14:paraId="3AB57958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0.047</w:t>
            </w: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top"/>
          </w:tcPr>
          <w:p w14:paraId="0A3DAE02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0.252</w:t>
            </w: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</w:tcBorders>
            <w:vAlign w:val="top"/>
          </w:tcPr>
          <w:p w14:paraId="7339394C">
            <w:pPr>
              <w:keepNext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差异较小</w:t>
            </w:r>
          </w:p>
        </w:tc>
      </w:tr>
      <w:tr w14:paraId="0843039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8" w:type="pct"/>
            <w:vMerge w:val="continue"/>
            <w:tcBorders>
              <w:top w:val="single" w:color="auto" w:sz="12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vAlign w:val="top"/>
          </w:tcPr>
          <w:p w14:paraId="630B9CAA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书目更新率</w:t>
            </w:r>
          </w:p>
        </w:tc>
        <w:tc>
          <w:tcPr>
            <w:tcW w:w="6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nil"/>
            </w:tcBorders>
            <w:vAlign w:val="top"/>
          </w:tcPr>
          <w:p w14:paraId="1E996762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组1</w:t>
            </w:r>
          </w:p>
          <w:p w14:paraId="75CB5292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top"/>
          </w:tcPr>
          <w:p w14:paraId="5CF3AD9F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-0.113</w:t>
            </w: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top"/>
          </w:tcPr>
          <w:p w14:paraId="65F3AED8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0.124</w:t>
            </w: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top"/>
          </w:tcPr>
          <w:p w14:paraId="149390C6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0.070</w:t>
            </w: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top"/>
          </w:tcPr>
          <w:p w14:paraId="53F4F59D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0.114</w:t>
            </w: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</w:tcBorders>
            <w:vAlign w:val="top"/>
          </w:tcPr>
          <w:p w14:paraId="69B54E5E">
            <w:pPr>
              <w:keepNext w:val="0"/>
              <w:keepLines/>
              <w:widowControl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建议分层运营</w:t>
            </w:r>
          </w:p>
        </w:tc>
      </w:tr>
    </w:tbl>
    <w:p w14:paraId="2C9806FA">
      <w:pPr>
        <w:keepNext w:val="0"/>
        <w:keepLines w:val="0"/>
        <w:widowControl/>
        <w:spacing w:beforeLines="0" w:after="0" w:line="240" w:lineRule="auto"/>
        <w:ind w:left="0" w:leftChars="0" w:firstLineChars="0"/>
        <w:jc w:val="left"/>
        <w:rPr>
          <w:rFonts w:hint="eastAsia" w:ascii="宋体" w:hAnsi="宋体" w:eastAsia="宋体" w:cs="宋体"/>
          <w:sz w:val="24"/>
        </w:rPr>
        <w:numPr>
          <w:ilvl w:val="0"/>
          <w:numId w:val="0"/>
        </w:numPr>
      </w:pPr>
    </w:p>
    <w:p w14:paraId="4755E856">
      <w:pPr>
        <w:keepNext w:val="0"/>
        <w:keepLines w:val="0"/>
        <w:pageBreakBefore w:val="0"/>
        <w:widowControl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</w:rPr>
        <w:t>本方案围绕公共书房的连续开放、活动排期、读者服务和空间维护展开，重点解决小型文化空间在日常管理中常见的排班不均、设备闲置、活动重复和服务反馈滞后等问题。</w:t>
      </w:r>
    </w:p>
    <w:p w14:paraId="645804CB">
      <w:pPr>
        <w:pStyle w:val="5"/>
        <w:keepNext/>
        <w:keepLines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Lines="25" w:beforeAutospacing="0" w:line="240" w:lineRule="auto" w:after="0"/>
        <w:ind w:left="-2" w:leftChars="0" w:firstLineChars="0"/>
        <w:jc w:val="left"/>
        <w:textAlignment w:val="auto"/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 w:val="0"/>
          <w:color w:val="000000"/>
          <w:sz w:val="24"/>
        </w:rPr>
        <w:t>（3）到馆频次分布特征</w:t>
      </w:r>
    </w:p>
    <w:p w14:paraId="5E8FD22E">
      <w:pPr>
        <w:keepNext w:val="0"/>
        <w:keepLines w:val="0"/>
        <w:pageBreakBefore w:val="0"/>
        <w:widowControl/>
        <w:spacing w:beforeLines="50" w:after="0" w:line="300" w:lineRule="auto"/>
        <w:ind w:firstLineChars="200"/>
        <w:jc w:val="both"/>
        <w:rPr>
          <w:rFonts w:ascii="宋体" w:hAnsi="宋体" w:eastAsia="宋体" w:cs="宋体"/>
          <w:color w:val="000000"/>
          <w:kern w:val="0"/>
          <w:sz w:val="24"/>
          <w:lang w:bidi="ar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本轮记录覆盖55个服务节点、5类核心场景，阶段满意度约为78%，一般问题在14天内完成闭环。志愿者参与以轻任务为主，包括书架整理、活动引导、亲子阅读陪伴、旧书交换登记和社区故事收集。</w:t>
      </w:r>
    </w:p>
    <w:p w14:paraId="6BB81E11">
      <w:pPr>
        <w:keepNext w:val="0"/>
        <w:keepLines w:val="0"/>
        <w:pageBreakBefore w:val="0"/>
        <w:widowControl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空间更新不追求一次性大改造，而采用轻量化迭代方式。</w:t>
      </w:r>
    </w:p>
    <w:p w14:paraId="7406EFC5">
      <w:pPr>
        <w:pStyle w:val="6"/>
        <w:keepNext/>
        <w:keepLines/>
        <w:pageBreakBefore w:val="0"/>
        <w:numPr>
          <w:ilvl w:val="0"/>
          <w:numId w:val="0"/>
        </w:numPr>
        <w:bidi w:val="0"/>
        <w:ind w:left="402" w:leftChars="0" w:firstLineChars="0"/>
        <w:jc w:val="left"/>
        <w:rPr>
          <w:rFonts w:hint="default"/>
          <w:lang w:val="en-US" w:eastAsia="zh-CN"/>
        </w:rPr>
        <w:spacing w:line="240" w:lineRule="auto" w:beforeLines="25" w:after="0"/>
      </w:pPr>
      <w:r>
        <w:rPr>
          <w:rFonts w:ascii="宋体" w:hAnsi="宋体" w:eastAsia="宋体" w:cs="宋体"/>
          <w:b w:val="0"/>
          <w:color w:val="000000"/>
          <w:sz w:val="24"/>
        </w:rPr>
        <w:t>1）访问目的分布特征</w:t>
      </w:r>
    </w:p>
    <w:p w14:paraId="367E504D">
      <w:pPr>
        <w:keepNext w:val="0"/>
        <w:keepLines w:val="0"/>
        <w:pageBreakBefore w:val="0"/>
        <w:widowControl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  <w:numPr>
          <w:ilvl w:val="0"/>
          <w:numId w:val="0"/>
        </w:numPr>
      </w:pPr>
      <w:bookmarkStart w:id="31" w:name="_Toc27058"/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  <w:t>使用场景分布特征</w:t>
      </w:r>
      <w:bookmarkEnd w:id="31"/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  <w:t>：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本轮记录覆盖69个服务节点、7类核心场景，阶段满意度约为84%，一般问题在16天内完成闭环。志愿者参与以轻任务为主，包括书架整理、活动引导、亲子阅读陪伴、旧书交换登记和社区故事收集。</w:t>
      </w:r>
    </w:p>
    <w:p w14:paraId="174BD463">
      <w:pPr>
        <w:keepNext w:val="0"/>
        <w:keepLines w:val="0"/>
        <w:pageBreakBefore w:val="0"/>
        <w:widowControl/>
        <w:spacing w:beforeLines="50" w:after="0" w:line="300" w:lineRule="auto"/>
        <w:ind w:firstLineChars="200"/>
        <w:jc w:val="both"/>
        <w:rPr>
          <w:rFonts w:hint="default"/>
          <w:lang w:val="en-US" w:eastAsia="zh-CN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本轮记录覆盖76个服务节点、8类核心场景，阶段满意度约为87%，一般问题在17天内完成闭环。数据采集坚持必要、适度、可解释的原则，不收集与阅读服务无关的个人信息。</w:t>
      </w:r>
    </w:p>
    <w:p w14:paraId="758042DF">
      <w:pPr>
        <w:pStyle w:val="6"/>
        <w:keepNext/>
        <w:keepLines/>
        <w:pageBreakBefore w:val="0"/>
        <w:numPr>
          <w:ilvl w:val="0"/>
          <w:numId w:val="0"/>
        </w:numPr>
        <w:bidi w:val="0"/>
        <w:ind w:left="402" w:leftChars="0" w:firstLineChars="0"/>
        <w:jc w:val="left"/>
        <w:rPr>
          <w:rFonts w:hint="eastAsia"/>
          <w:lang w:val="en-US" w:eastAsia="zh-CN"/>
        </w:rPr>
        <w:spacing w:line="240" w:lineRule="auto" w:beforeLines="25" w:after="0"/>
      </w:pPr>
      <w:r>
        <w:rPr>
          <w:rFonts w:ascii="宋体" w:hAnsi="宋体" w:eastAsia="宋体" w:cs="宋体"/>
          <w:b w:val="0"/>
          <w:color w:val="000000"/>
          <w:sz w:val="24"/>
        </w:rPr>
        <w:t>2）停留时长分布特征</w:t>
      </w:r>
    </w:p>
    <w:p w14:paraId="155F7249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rPr>
          <w:b w:val="0"/>
          <w:bCs w:val="0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bCs w:val="0"/>
          <w:color w:val="000000"/>
          <w:sz w:val="24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本轮记录覆盖19个服务节点、9类核心场景，阶段满意度约为90%，一般问题在7天内完成闭环。</w:t>
      </w:r>
    </w:p>
    <w:p w14:paraId="0E5CF393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rPr>
          <w:b w:val="0"/>
          <w:bCs w:val="0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bCs w:val="0"/>
          <w:color w:val="000000"/>
          <w:sz w:val="24"/>
        </w:rPr>
        <w:t>活动设计应避免单纯追求数量，重点关注读者是否愿意再次参加、是否产生持续阅读行为、是否带动家庭成员共同使用空间。</w:t>
      </w:r>
    </w:p>
    <w:p w14:paraId="66F7DCBB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rPr>
          <w:b w:val="0"/>
          <w:bCs w:val="0"/>
        </w:rPr>
        <w:numPr>
          <w:ilvl w:val="0"/>
          <w:numId w:val="0"/>
        </w:numPr>
      </w:pPr>
      <w:r>
        <w:rPr>
          <w:rStyle w:val="12"/>
          <w:rFonts w:ascii="宋体" w:hAnsi="宋体" w:eastAsia="宋体" w:cs="宋体"/>
          <w:b w:val="0"/>
          <w:bCs w:val="0"/>
          <w:color w:val="000000"/>
          <w:sz w:val="24"/>
        </w:rPr>
        <w:t>物资管理采用低库存、快补给原则。常用耗材按周盘点，活动材料按场次核销，设备维修按紧急程度分为即时处理、三日内处理和月度集中处理三类。</w:t>
      </w:r>
    </w:p>
    <w:p w14:paraId="3CCC091A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rPr>
          <w:b w:val="0"/>
          <w:bCs w:val="0"/>
        </w:rPr>
        <w:numPr>
          <w:ilvl w:val="0"/>
          <w:numId w:val="0"/>
        </w:numPr>
      </w:pPr>
      <w:r>
        <w:rPr>
          <w:rStyle w:val="12"/>
          <w:rFonts w:ascii="宋体" w:hAnsi="宋体" w:eastAsia="宋体" w:cs="宋体"/>
          <w:b w:val="0"/>
          <w:bCs w:val="0"/>
          <w:color w:val="000000"/>
          <w:sz w:val="24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</w:t>
      </w:r>
    </w:p>
    <w:p w14:paraId="4BBE1C49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rPr>
          <w:b w:val="0"/>
          <w:bCs w:val="0"/>
        </w:rPr>
        <w:numPr>
          <w:ilvl w:val="0"/>
          <w:numId w:val="0"/>
        </w:numPr>
      </w:pPr>
      <w:r>
        <w:rPr>
          <w:rStyle w:val="12"/>
          <w:rFonts w:ascii="宋体" w:hAnsi="宋体" w:eastAsia="宋体" w:cs="宋体"/>
          <w:b w:val="0"/>
          <w:bCs w:val="0"/>
          <w:color w:val="000000"/>
          <w:sz w:val="24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</w:t>
      </w:r>
    </w:p>
    <w:p w14:paraId="64802F2D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rPr>
          <w:b w:val="0"/>
          <w:bCs w:val="0"/>
        </w:rPr>
        <w:numPr>
          <w:ilvl w:val="0"/>
          <w:numId w:val="0"/>
        </w:numPr>
      </w:pPr>
      <w:r>
        <w:rPr>
          <w:rStyle w:val="12"/>
          <w:rFonts w:ascii="宋体" w:hAnsi="宋体" w:eastAsia="宋体" w:cs="宋体"/>
          <w:b w:val="0"/>
          <w:bCs w:val="0"/>
          <w:color w:val="000000"/>
          <w:sz w:val="24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</w:t>
      </w:r>
    </w:p>
    <w:p w14:paraId="292427EA">
      <w:pPr>
        <w:pStyle w:val="6"/>
        <w:keepNext/>
        <w:keepLines/>
        <w:pageBreakBefore w:val="0"/>
        <w:numPr>
          <w:ilvl w:val="0"/>
          <w:numId w:val="0"/>
        </w:numPr>
        <w:bidi w:val="0"/>
        <w:ind w:left="402" w:leftChars="0" w:firstLineChars="0"/>
        <w:jc w:val="left"/>
        <w:rPr>
          <w:rFonts w:hint="eastAsia"/>
          <w:lang w:val="en-US" w:eastAsia="zh-CN"/>
        </w:rPr>
        <w:spacing w:line="240" w:lineRule="auto" w:beforeLines="25" w:after="0"/>
      </w:pPr>
      <w:r>
        <w:rPr>
          <w:rFonts w:ascii="宋体" w:hAnsi="宋体" w:eastAsia="宋体" w:cs="宋体"/>
          <w:b w:val="0"/>
          <w:color w:val="000000"/>
          <w:sz w:val="24"/>
        </w:rPr>
        <w:t>3）周边居住距离分布特征</w:t>
      </w:r>
    </w:p>
    <w:p w14:paraId="040FCA12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调研记录显示，读者更关注安静座位、灯光舒适度、图书更新速度、活动预约便利性以及儿童阅读区的安全性。</w:t>
      </w:r>
    </w:p>
    <w:p w14:paraId="4AA72346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本轮记录覆盖68个服务节点、8类核心场景，阶段满意度约为83%，一般问题在14天内完成闭环。</w:t>
      </w:r>
    </w:p>
    <w:p w14:paraId="4A5B7B17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运营团队将每日开闭馆、借阅登记、场地巡检、活动签到、物资补充和意见反馈纳入同一张工作清单。</w:t>
      </w:r>
    </w:p>
    <w:p w14:paraId="575E5F76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数据采集坚持必要、适度、可解释的原则，不收集与阅读服务无关的个人信息。</w:t>
      </w:r>
    </w:p>
    <w:p w14:paraId="12A72927">
      <w:pPr>
        <w:pStyle w:val="2"/>
        <w:keepNext/>
        <w:keepLines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Lines="50" w:beforeAutospacing="0" w:line="240" w:lineRule="auto" w:after="0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ind w:firstLineChars="0"/>
      </w:pPr>
      <w:r>
        <w:rPr>
          <w:rFonts w:ascii="黑体" w:hAnsi="黑体" w:eastAsia="黑体" w:cs="黑体"/>
          <w:b/>
          <w:color w:val="000000"/>
          <w:sz w:val="30"/>
        </w:rPr>
        <w:t>二、服务体系与空间更新</w:t>
      </w:r>
    </w:p>
    <w:p w14:paraId="15EBFBD0">
      <w:pPr>
        <w:pStyle w:val="8"/>
        <w:keepNext w:val="0"/>
        <w:keepLines w:val="0"/>
        <w:pageBreakBefore w:val="0"/>
        <w:widowControl/>
        <w:suppressLineNumbers w:val="0"/>
        <w:spacing w:beforeLines="50" w:beforeAutospacing="1" w:after="0" w:afterAutospacing="1" w:line="300" w:lineRule="auto"/>
        <w:ind w:left="0" w:right="0" w:firstLineChars="200"/>
        <w:jc w:val="both"/>
        <w:rPr>
          <w:rFonts w:hint="eastAsia"/>
          <w:lang w:val="en-US" w:eastAsia="zh-CN"/>
        </w:rPr>
        <w:numPr>
          <w:ilvl w:val="0"/>
          <w:numId w:val="0"/>
        </w:numPr>
      </w:pPr>
      <w:r>
        <w:rPr>
          <w:rFonts w:ascii="宋体" w:hAnsi="宋体" w:eastAsia="宋体" w:cs="宋体"/>
          <w:color w:val="000000"/>
          <w:sz w:val="24"/>
        </w:rPr>
        <w:t>为提升服务的真实可达性，方案建议在社区公告栏、学校门口、商街转角和线上小程序同步发布开放时间、活动日历与预约规则。</w:t>
      </w:r>
    </w:p>
    <w:p w14:paraId="3D0E2B32">
      <w:pPr>
        <w:pStyle w:val="3"/>
        <w:keepNext/>
        <w:keepLines/>
        <w:pageBreakBefore w:val="0"/>
        <w:spacing w:beforeLines="50" w:after="0" w:line="240" w:lineRule="auto"/>
        <w:ind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ascii="黑体" w:hAnsi="黑体" w:eastAsia="黑体" w:cs="黑体"/>
          <w:b/>
          <w:color w:val="000000"/>
          <w:sz w:val="28"/>
        </w:rPr>
        <w:t>（一）地方配套机制</w:t>
      </w:r>
    </w:p>
    <w:p w14:paraId="2C45F24D">
      <w:pPr>
        <w:keepNext/>
        <w:keepLines/>
        <w:spacing w:beforeLines="0" w:after="0" w:line="240" w:lineRule="auto"/>
        <w:jc w:val="center"/>
        <w:rPr>
          <w:rFonts w:hint="eastAsia" w:ascii="宋体" w:hAnsi="宋体" w:cs="宋体"/>
          <w:sz w:val="24"/>
          <w:szCs w:val="24"/>
          <w:lang w:eastAsia="zh-CN"/>
        </w:rPr>
        <w:ind w:firstLineChars="0"/>
        <w:numPr>
          <w:ilvl w:val="0"/>
          <w:numId w:val="0"/>
        </w:num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918075" cy="1706245"/>
            <wp:effectExtent l="0" t="0" r="4445" b="635"/>
            <wp:docPr id="1960956929" name="图表 1" descr="7b0a202020202263686172745265734964223a20223230343736383130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2  读者年龄分布图</w:t>
      </w:r>
    </w:p>
    <w:p w14:paraId="7DF37BEC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32个服务节点、4类核心场景，阶段满意度约为67%，一般问题在7天内完成闭环。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物资管理采用低库存、快补给原则。</w:t>
      </w:r>
    </w:p>
    <w:p>
      <w:pPr>
        <w:pStyle w:val="3"/>
        <w:jc w:val="left"/>
        <w:keepNext/>
        <w:keepLines/>
        <w:pageBreakBefore w:val="0"/>
        <w:spacing w:line="240" w:lineRule="auto" w:beforeLines="50" w:after="0"/>
        <w:ind w:firstLineChars="0"/>
        <w:numPr>
          <w:ilvl w:val="0"/>
          <w:numId w:val="0"/>
        </w:numPr>
      </w:pPr>
      <w:r>
        <w:rPr>
          <w:rFonts w:ascii="黑体" w:hAnsi="黑体" w:eastAsia="黑体" w:cs="黑体"/>
          <w:b/>
          <w:color w:val="000000"/>
          <w:sz w:val="28"/>
        </w:rPr>
        <w:t>（二）协作机构行动</w:t>
      </w:r>
    </w:p>
    <w:p w14:paraId="10996D4D">
      <w:pPr>
        <w:keepNext/>
        <w:keepLines/>
        <w:spacing w:beforeLines="0" w:after="0" w:line="240" w:lineRule="auto"/>
        <w:ind w:firstLine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  <w:numPr>
          <w:ilvl w:val="0"/>
          <w:numId w:val="0"/>
        </w:numPr>
      </w:pPr>
      <w:bookmarkStart w:id="35" w:name="_Toc3107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0" distR="0">
            <wp:extent cx="4820920" cy="3380105"/>
            <wp:effectExtent l="186055" t="0" r="403225" b="0"/>
            <wp:docPr id="1" name="图片 1" descr="手机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wpsCustomData:tag>
                    <wpsCustomData:item wpsCustomData:name="KSO_DOCER_RESOURCE_TRACE_INFO" wpsCustomData:val="{&quot;id&quot;:&quot;3656897&quot;,&quot;origin&quot;:0,&quot;type&quot;:&quot;icons&quot;,&quot;user&quot;:&quot;395891149&quot;}"/>
                  </wpsCustomData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手机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3380105"/>
                    </a:xfrm>
                    <a:prstGeom prst="rect">
                      <a:avLst/>
                    </a:prstGeom>
                    <a:effectLst>
                      <a:outerShdw blurRad="50800" dist="38100" dir="2700000" sx="103000" sy="103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perspectiveRelaxed">
                        <a:rot lat="17676000" lon="0" rev="0"/>
                      </a:camera>
                      <a:lightRig rig="threePt" dir="t">
                        <a:rot lat="0" lon="0" rev="0"/>
                      </a:lightRig>
                    </a:scene3d>
                  </pic:spPr>
                </pic:pic>
              </a:graphicData>
            </a:graphic>
          </wp:inline>
        </w:drawing>
      </w:r>
      <w:bookmarkEnd w:id="35"/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3  公共书房空间动线图</w:t>
      </w:r>
    </w:p>
    <w:p w14:paraId="3A6D8202">
      <w:pPr>
        <w:keepNext/>
        <w:keepLines/>
        <w:numPr>
          <w:ilvl w:val="0"/>
          <w:numId w:val="0"/>
        </w:numPr>
        <w:spacing w:beforeLines="0" w:after="0" w:line="24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  <w:ind w:firstLineChars="0"/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077335" cy="1804670"/>
            <wp:effectExtent l="0" t="0" r="0" b="0"/>
            <wp:docPr id="372826604" name="图表 1" descr="7b0a202020202263686172745265734964223a20223230343737303035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4  读者使用年限分布图</w:t>
      </w:r>
    </w:p>
    <w:p w14:paraId="4BD3D0B8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 本轮记录覆盖39个服务节点、5类核心场景，阶段满意度约为70%，一般问题在8天内完成闭环。志愿者参与以轻任务为主，包括书架整理、活动引导、亲子阅读陪伴、旧书交换登记和社区故事收集。</w:t>
      </w:r>
    </w:p>
    <w:p w14:paraId="7E71DFF9">
      <w:pPr>
        <w:pStyle w:val="3"/>
        <w:keepNext/>
        <w:keepLines/>
        <w:pageBreakBefore w:val="0"/>
        <w:spacing w:beforeLines="50" w:after="0" w:line="240" w:lineRule="auto"/>
        <w:ind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ascii="黑体" w:hAnsi="黑体" w:eastAsia="黑体" w:cs="黑体"/>
          <w:b/>
          <w:color w:val="000000"/>
          <w:sz w:val="28"/>
        </w:rPr>
        <w:t>（三）同类城市运营概况</w:t>
      </w:r>
    </w:p>
    <w:p w14:paraId="3F4D03E6">
      <w:pPr>
        <w:keepNext/>
        <w:keepLines/>
        <w:numPr>
          <w:ilvl w:val="0"/>
          <w:numId w:val="0"/>
        </w:numPr>
        <w:spacing w:beforeLines="0" w:after="0" w:line="240" w:lineRule="auto"/>
        <w:jc w:val="center"/>
        <w:rPr>
          <w:rFonts w:hint="eastAsia" w:ascii="宋体" w:hAnsi="宋体" w:eastAsia="宋体" w:cs="宋体"/>
          <w:sz w:val="24"/>
          <w:szCs w:val="24"/>
        </w:rPr>
        <w:ind w:firstLineChars="0"/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970145" cy="2273300"/>
            <wp:effectExtent l="0" t="0" r="0" b="0"/>
            <wp:docPr id="18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5  读者职业类型分布图</w:t>
      </w:r>
    </w:p>
    <w:p w14:paraId="11C83395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</w:t>
      </w:r>
    </w:p>
    <w:p w14:paraId="5C7EF083">
      <w:pPr>
        <w:pStyle w:val="3"/>
        <w:keepNext/>
        <w:keepLines/>
        <w:pageBreakBefore w:val="0"/>
        <w:spacing w:beforeLines="50" w:after="0" w:line="240" w:lineRule="auto"/>
        <w:ind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numPr>
          <w:ilvl w:val="0"/>
          <w:numId w:val="0"/>
        </w:numPr>
      </w:pPr>
      <w:r>
        <w:rPr>
          <w:rFonts w:ascii="黑体" w:hAnsi="黑体" w:eastAsia="黑体" w:cs="黑体"/>
          <w:b/>
          <w:color w:val="000000"/>
          <w:sz w:val="28"/>
        </w:rPr>
        <w:t>（四）核心城区：建立全时段阅读生态</w:t>
      </w:r>
    </w:p>
    <w:p w14:paraId="023AA58B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pacing w:beforeLines="50" w:beforeAutospacing="0" w:after="0" w:afterAutospacing="0" w:line="300" w:lineRule="auto"/>
        <w:ind w:right="0" w:rightChars="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 本轮记录覆盖53个服务节点、7类核心场景，阶段满意度约为76%，一般问题在10天内完成闭环。</w:t>
      </w:r>
    </w:p>
    <w:p w14:paraId="7A11DAD5">
      <w:pPr>
        <w:pStyle w:val="8"/>
        <w:keepNext/>
        <w:keepLines/>
        <w:widowControl/>
        <w:numPr>
          <w:ilvl w:val="0"/>
          <w:numId w:val="0"/>
        </w:numPr>
        <w:suppressLineNumbers w:val="0"/>
        <w:spacing w:beforeLines="0" w:beforeAutospacing="0" w:after="0" w:afterAutospacing="0" w:line="240" w:lineRule="auto"/>
        <w:ind w:right="0" w:rightChars="0" w:firstLineChars="0"/>
        <w:jc w:val="center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897120" cy="2178050"/>
            <wp:effectExtent l="0" t="0" r="0" b="0"/>
            <wp:docPr id="1495487836" name="图表 1" descr="7b0a202020202263686172745265734964223a20223230343736353937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6  读者日均停留时长分布图</w:t>
      </w:r>
    </w:p>
    <w:p w14:paraId="2D9E3D81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本轮记录覆盖60个服务节点、8类核心场景，阶段满意度约为79%，一般问题在11天内完成闭环。</w:t>
      </w:r>
    </w:p>
    <w:p w14:paraId="6D536B1E">
      <w:pPr>
        <w:pStyle w:val="3"/>
        <w:keepNext/>
        <w:keepLines/>
        <w:pageBreakBefore w:val="0"/>
        <w:spacing w:beforeLines="50" w:after="0" w:line="240" w:lineRule="auto"/>
        <w:ind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ascii="黑体" w:hAnsi="黑体" w:eastAsia="黑体" w:cs="黑体"/>
          <w:b/>
          <w:color w:val="000000"/>
          <w:sz w:val="28"/>
        </w:rPr>
        <w:t>（五）特色街区：文旅阅读场景融合</w:t>
      </w:r>
    </w:p>
    <w:p w14:paraId="602726A4">
      <w:pPr>
        <w:keepNext/>
        <w:keepLines/>
        <w:spacing w:beforeLines="0" w:after="0" w:line="240" w:lineRule="auto"/>
        <w:ind w:firstLineChars="0"/>
        <w:jc w:val="center"/>
        <w:rPr>
          <w:rFonts w:hint="eastAsia" w:ascii="宋体" w:hAnsi="宋体" w:eastAsia="宋体" w:cs="宋体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5542915" cy="2347595"/>
            <wp:effectExtent l="0" t="0" r="4445" b="14605"/>
            <wp:docPr id="1116985190" name="图表 1" descr="7b0a202020202263686172745265734964223a20223530303539353735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7  读者周边居住距离分布图</w:t>
      </w:r>
    </w:p>
    <w:p w14:paraId="3CFCB65F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本轮记录覆盖67个服务节点、9类核心场景，阶段满意度约为82%，一般问题在12天内完成闭环。志愿者参与以轻任务为主，包括书架整理、活动引导、亲子阅读陪伴、旧书交换登记和社区故事收集。</w:t>
      </w:r>
    </w:p>
    <w:p w14:paraId="42431DC5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rPr>
          <w:rFonts w:hint="eastAsia"/>
          <w:b w:val="0"/>
          <w:bCs w:val="0"/>
          <w:sz w:val="30"/>
          <w:szCs w:val="30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（六）采用轻量化迭代方式</w:t>
      </w:r>
    </w:p>
    <w:p w14:paraId="1FF16F9A">
      <w:pPr>
        <w:pStyle w:val="4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25" w:beforeAutospacing="0" w:line="240" w:lineRule="auto" w:after="0"/>
        <w:jc w:val="left"/>
        <w:textAlignment w:val="auto"/>
        <w:outlineLvl w:val="1"/>
        <w:rPr>
          <w:rFonts w:hint="eastAsia" w:eastAsia="黑体"/>
          <w:b w:val="0"/>
          <w:bCs w:val="0"/>
          <w:sz w:val="28"/>
          <w:szCs w:val="28"/>
          <w:lang w:val="en-US" w:eastAsia="zh-CN"/>
        </w:rPr>
        <w:ind w:firstLineChars="0"/>
      </w:pPr>
      <w:r>
        <w:rPr>
          <w:rFonts w:ascii="宋体" w:hAnsi="宋体" w:eastAsia="宋体" w:cs="宋体"/>
          <w:b w:val="0"/>
          <w:color w:val="000000"/>
          <w:sz w:val="24"/>
        </w:rPr>
        <w:t>1.青禾片区公共书房建设现状</w:t>
      </w:r>
    </w:p>
    <w:p w14:paraId="2440DCB1">
      <w:pPr>
        <w:pStyle w:val="5"/>
        <w:ind w:firstLineChars="0"/>
        <w:jc w:val="left"/>
        <w:rPr>
          <w:rFonts w:hint="default" w:ascii="宋体" w:hAnsi="宋体" w:eastAsia="宋体" w:cs="Times New Roman"/>
          <w:kern w:val="0"/>
          <w:sz w:val="24"/>
          <w:szCs w:val="24"/>
          <w:lang w:val="en-US" w:eastAsia="zh-CN"/>
        </w:rPr>
        <w:keepNext/>
        <w:keepLines/>
        <w:pageBreakBefore w:val="0"/>
        <w:spacing w:line="240" w:lineRule="auto" w:beforeLines="25" w:after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（1）已有资源与待补充清单</w:t>
      </w:r>
    </w:p>
    <w:p w14:paraId="733E358E">
      <w:pPr>
        <w:ind w:firstLineChars="200"/>
        <w:jc w:val="both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keepNext w:val="0"/>
        <w:keepLines w:val="0"/>
        <w:pageBreakBefore w:val="0"/>
        <w:spacing w:line="300" w:lineRule="auto" w:beforeLines="50" w:after="0"/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运营团队将每日开闭馆、借阅登记、场地巡检、活动签到、物资补充和意见反馈纳入同一张工作清单。</w:t>
      </w:r>
    </w:p>
    <w:p w14:paraId="699CDD9A">
      <w:pPr>
        <w:ind w:firstLineChars="200"/>
        <w:jc w:val="both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keepNext w:val="0"/>
        <w:keepLines w:val="0"/>
        <w:pageBreakBefore w:val="0"/>
        <w:spacing w:line="300" w:lineRule="auto" w:beforeLines="50" w:after="0"/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本轮记录覆盖24个服务节点、4类核心场景，阶段满意度约为91%，一般问题在15天内完成闭环。数据采集坚持必要、适度、可解释的原则，不收集与阅读服务无关的个人信息。</w:t>
      </w:r>
    </w:p>
    <w:p w14:paraId="56E1683E">
      <w:pPr>
        <w:pStyle w:val="5"/>
        <w:ind w:firstLineChars="0"/>
        <w:jc w:val="left"/>
        <w:rPr>
          <w:rFonts w:hint="default" w:ascii="宋体" w:hAnsi="宋体" w:eastAsia="宋体" w:cs="Times New Roman"/>
          <w:kern w:val="0"/>
          <w:sz w:val="24"/>
          <w:szCs w:val="24"/>
          <w:lang w:val="en-US" w:eastAsia="zh-CN"/>
        </w:rPr>
        <w:keepNext/>
        <w:keepLines/>
        <w:pageBreakBefore w:val="0"/>
        <w:spacing w:line="240" w:lineRule="auto" w:beforeLines="25" w:after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（2）社区共建参与情况</w:t>
      </w:r>
    </w:p>
    <w:p w14:paraId="75A95471">
      <w:pPr>
        <w:ind w:firstLineChars="200"/>
        <w:jc w:val="both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keepNext w:val="0"/>
        <w:keepLines w:val="0"/>
        <w:pageBreakBefore w:val="0"/>
        <w:spacing w:line="300" w:lineRule="auto" w:beforeLines="50" w:after="0"/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本轮记录覆盖31个服务节点、5类核心场景，阶段满意度约为66%，一般问题在16天内完成闭环。</w:t>
      </w:r>
    </w:p>
    <w:p w14:paraId="3431AED7">
      <w:pPr>
        <w:ind w:firstLineChars="200"/>
        <w:jc w:val="both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keepNext w:val="0"/>
        <w:keepLines w:val="0"/>
        <w:pageBreakBefore w:val="0"/>
        <w:spacing w:line="300" w:lineRule="auto" w:beforeLines="50" w:after="0"/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本轮记录覆盖38个服务节点、6类核心场景，阶段满意度约为69%，一般问题在17天内完成闭环。物资管理采用低库存、快补给原则。</w:t>
      </w:r>
    </w:p>
    <w:p w14:paraId="2E186BDE">
      <w:pPr>
        <w:pStyle w:val="4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25" w:beforeAutospacing="0" w:line="240" w:lineRule="auto" w:after="0"/>
        <w:jc w:val="lef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  <w:ind w:firstLineChars="0"/>
      </w:pPr>
      <w:r>
        <w:rPr>
          <w:rFonts w:ascii="宋体" w:hAnsi="宋体" w:eastAsia="宋体" w:cs="宋体"/>
          <w:b w:val="0"/>
          <w:color w:val="000000"/>
          <w:sz w:val="24"/>
        </w:rPr>
        <w:t>2.公共书房使用情况分析</w:t>
      </w:r>
    </w:p>
    <w:p w14:paraId="33025A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ind w:firstLineChars="200"/>
        <w:jc w:val="both"/>
        <w:rPr>
          <w:rFonts w:hint="eastAsia" w:ascii="宋体" w:hAnsi="宋体" w:eastAsia="宋体" w:cs="Times New Roman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  <w:spacing w:line="300" w:lineRule="auto" w:beforeLines="50" w:after="0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物资管理采用低库存、快补给原则。常用耗材按周盘点，活动材料按场次核销，设备维修按紧急程度分为即时处理、三日内处理和月度集中处理三类。</w:t>
      </w:r>
    </w:p>
    <w:p w14:paraId="6CC45F02">
      <w:pPr>
        <w:keepNext w:val="0"/>
        <w:keepLines w:val="0"/>
        <w:pageBreakBefore w:val="0"/>
        <w:widowControl/>
        <w:suppressLineNumbers w:val="0"/>
        <w:ind w:firstLineChars="20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spacing w:line="300" w:lineRule="auto" w:beforeLines="50" w:after="0"/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</w:t>
      </w:r>
    </w:p>
    <w:p w14:paraId="7C85698F">
      <w:pPr>
        <w:keepNext/>
        <w:keepLines/>
        <w:widowControl/>
        <w:suppressLineNumbers w:val="0"/>
        <w:jc w:val="center"/>
        <w:rPr>
          <w:sz w:val="24"/>
          <w:szCs w:val="24"/>
        </w:rPr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INCLUDEPICTURE \d "C:\\Users\\HUAWEI\\Downloads\\1764576382941.png" \* MERGEFORMATINET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2333625" cy="3014980"/>
            <wp:effectExtent l="0" t="0" r="13335" b="254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INCLUDEPICTURE \d "C:\\Users\\HUAWEI\\Downloads\\绘制网约阅读服务员人数折线图 (3).png" \* MERGEFORMATINET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drawing>
          <wp:inline distT="0" distB="0" distL="114300" distR="114300">
            <wp:extent cx="2912745" cy="3193415"/>
            <wp:effectExtent l="0" t="0" r="0" b="6985"/>
            <wp:docPr id="48" name="图片 4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 r="-3156" b="8652"/>
                    <a:stretch>
                      <a:fillRect/>
                    </a:stretch>
                  </pic:blipFill>
                  <pic:spPr>
                    <a:xfrm>
                      <a:off x="0" y="0"/>
                      <a:ext cx="291274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fldChar w:fldCharType="end"/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8  活动流程与阅读服务概览图</w:t>
      </w:r>
    </w:p>
    <w:p w14:paraId="44BEF74D">
      <w:pPr>
        <w:pStyle w:val="5"/>
        <w:ind w:firstLineChars="0"/>
        <w:jc w:val="left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keepNext/>
        <w:keepLines/>
        <w:pageBreakBefore w:val="0"/>
        <w:spacing w:line="240" w:lineRule="auto" w:beforeLines="25" w:after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（1）过去一个月内到访公共书房、共享书架、阅读活动点的频率</w:t>
      </w:r>
    </w:p>
    <w:p w14:paraId="4CE5D11B">
      <w:pPr>
        <w:ind w:firstLineChars="200"/>
        <w:jc w:val="both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keepNext w:val="0"/>
        <w:keepLines w:val="0"/>
        <w:pageBreakBefore w:val="0"/>
        <w:spacing w:line="300" w:lineRule="auto" w:beforeLines="50" w:after="0"/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66个服务节点、2类核心场景，阶段满意度约为81%，一般问题在10天内完成闭环。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</w:t>
      </w:r>
    </w:p>
    <w:p w14:paraId="3D7EC943">
      <w:pPr>
        <w:pStyle w:val="5"/>
        <w:ind w:firstLineChars="0"/>
        <w:jc w:val="left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keepNext/>
        <w:keepLines/>
        <w:pageBreakBefore w:val="0"/>
        <w:spacing w:line="240" w:lineRule="auto" w:beforeLines="25" w:after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（2）主要使用的服务类型</w:t>
      </w:r>
    </w:p>
    <w:p w14:paraId="0B0884E0">
      <w:pPr>
        <w:ind w:firstLineChars="200"/>
        <w:jc w:val="both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keepNext w:val="0"/>
        <w:keepLines w:val="0"/>
        <w:pageBreakBefore w:val="0"/>
        <w:spacing w:line="300" w:lineRule="auto" w:beforeLines="50" w:after="0"/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73个服务节点、3类核心场景，阶段满意度约为84%，一般问题在11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</w:t>
      </w:r>
    </w:p>
    <w:p w14:paraId="6DCC608A">
      <w:pPr>
        <w:pStyle w:val="5"/>
        <w:ind w:firstLineChars="0"/>
        <w:jc w:val="left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keepNext/>
        <w:keepLines/>
        <w:pageBreakBefore w:val="0"/>
        <w:spacing w:line="240" w:lineRule="auto" w:beforeLines="25" w:after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（3）未到访的主要原因</w:t>
      </w:r>
    </w:p>
    <w:p w14:paraId="086CD661">
      <w:pPr>
        <w:ind w:firstLineChars="200"/>
        <w:jc w:val="both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keepNext w:val="0"/>
        <w:keepLines w:val="0"/>
        <w:pageBreakBefore w:val="0"/>
        <w:spacing w:line="300" w:lineRule="auto" w:beforeLines="50" w:after="0"/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本轮记录覆盖80个服务节点、4类核心场景，阶段满意度约为87%，一般问题在12天内完成闭环。</w:t>
      </w:r>
    </w:p>
    <w:p w14:paraId="2CB15E07">
      <w:pPr>
        <w:ind w:firstLineChars="0"/>
        <w:jc w:val="left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keepNext w:val="0"/>
        <w:keepLines w:val="0"/>
        <w:spacing w:line="240" w:lineRule="auto" w:beforeLines="0" w:after="0"/>
        <w:numPr>
          <w:ilvl w:val="0"/>
          <w:numId w:val="0"/>
        </w:numPr>
      </w:pP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3  点位服务执行要点表</w:t>
      </w:r>
    </w:p>
    <w:tbl>
      <w:tblPr>
        <w:tblStyle w:val="10"/>
        <w:tblW w:w="0" w:type="auto"/>
        <w:tblInd w:w="0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"/>
        <w:gridCol w:w="1140"/>
        <w:gridCol w:w="6349"/>
      </w:tblGrid>
      <w:tr w14:paraId="41A5841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cantSplit/>
          <w:tblHeader/>
        </w:trPr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B8D068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center"/>
              <w:rPr>
                <w:rFonts w:hint="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numPr>
                <w:ilvl w:val="0"/>
                <w:numId w:val="0"/>
              </w:numPr>
            </w:pPr>
            <w:r>
              <w:rPr>
                <w:rFonts w:hint="eastAsia" w:eastAsia="宋体" w:ascii="宋体" w:hAnsi="宋体" w:cs="宋体"/>
                <w:b/>
                <w:bCs w:val="0"/>
                <w:i w:val="0"/>
                <w:color w:val="00000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  <w:p w14:paraId="470AF878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center"/>
              <w:rPr>
                <w:rFonts w:hint="eastAsia" w:eastAsia="宋体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numPr>
                <w:ilvl w:val="0"/>
                <w:numId w:val="0"/>
              </w:numPr>
            </w:pP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4323B2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center"/>
              <w:rPr>
                <w:rFonts w:hint="eastAsia" w:eastAsia="宋体"/>
                <w:b/>
                <w:bCs w:val="0"/>
                <w:i w:val="0"/>
                <w:color w:val="000000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eastAsia="宋体" w:ascii="宋体" w:hAnsi="宋体" w:cs="宋体"/>
                <w:b/>
                <w:bCs w:val="0"/>
                <w:i w:val="0"/>
                <w:color w:val="000000"/>
                <w:sz w:val="24"/>
                <w:vertAlign w:val="baseline"/>
                <w:lang w:val="en-US" w:eastAsia="zh-CN"/>
              </w:rPr>
              <w:t>点位/指标</w:t>
            </w: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5E7A74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right="0" w:firstLineChars="0"/>
              <w:jc w:val="center"/>
              <w:rPr>
                <w:rFonts w:hint="default"/>
                <w:b/>
                <w:bCs w:val="0"/>
                <w:i w:val="0"/>
                <w:color w:val="000000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eastAsia="宋体" w:ascii="宋体" w:hAnsi="宋体" w:cs="宋体"/>
                <w:b/>
                <w:bCs w:val="0"/>
                <w:i w:val="0"/>
                <w:color w:val="000000"/>
                <w:sz w:val="24"/>
                <w:vertAlign w:val="baseline"/>
              </w:rPr>
              <w:t>执行要点</w:t>
            </w:r>
          </w:p>
        </w:tc>
      </w:tr>
      <w:tr w14:paraId="272ADEC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3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E4746B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numPr>
                <w:ilvl w:val="0"/>
                <w:numId w:val="0"/>
              </w:numPr>
            </w:pPr>
            <w:r>
              <w:rPr>
                <w:rFonts w:hint="eastAsia" w:asciiTheme="majorEastAsia" w:hAnsiTheme="majorEastAsia" w:eastAsiaTheme="majorEastAsia" w:cstheme="majorEastAsia" w:ascii="宋体" w:hAnsi="宋体" w:eastAsia="宋体" w:cs="宋体"/>
                <w:b/>
                <w:bCs w:val="0"/>
                <w:i w:val="0"/>
                <w:color w:val="00000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银杏书舍</w:t>
            </w:r>
          </w:p>
          <w:p w14:paraId="5E36A02A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numPr>
                <w:ilvl w:val="0"/>
                <w:numId w:val="0"/>
              </w:numPr>
            </w:pP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EFA333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  <w:lang w:val="en-US" w:eastAsia="zh-CN"/>
              </w:rPr>
              <w:t>手作课堂</w:t>
            </w: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D9ACE7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</w:rPr>
              <w:t>配置21个座位，月均活动5场，问题闭环率84%。</w:t>
            </w:r>
          </w:p>
        </w:tc>
      </w:tr>
      <w:tr w14:paraId="20D395A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3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69B429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</w:rPr>
              <w:t>灯塔共享厅</w:t>
            </w: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62C145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  <w:lang w:val="en-US" w:eastAsia="zh-CN"/>
              </w:rPr>
              <w:t>数字借阅</w:t>
            </w:r>
          </w:p>
          <w:p w14:paraId="67BF75E3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31588F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</w:rPr>
              <w:t>配置24个座位，月均活动6场，问题闭环率86%。</w:t>
            </w:r>
          </w:p>
        </w:tc>
      </w:tr>
      <w:tr w14:paraId="7978E5D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3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232ED8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</w:rPr>
              <w:t>栖岸书廊</w:t>
            </w: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7B4236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  <w:lang w:val="en-US" w:eastAsia="zh-CN"/>
              </w:rPr>
              <w:t>社区讲读</w:t>
            </w:r>
          </w:p>
          <w:p w14:paraId="702BC910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333C31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</w:rPr>
              <w:t>配置27个座位，月均活动7场，问题闭环率88%。</w:t>
            </w:r>
          </w:p>
        </w:tc>
      </w:tr>
      <w:tr w14:paraId="6E9A1B3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3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4872BD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numPr>
                <w:ilvl w:val="0"/>
                <w:numId w:val="0"/>
              </w:numPr>
            </w:pPr>
          </w:p>
          <w:p w14:paraId="0C64C923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numPr>
                <w:ilvl w:val="0"/>
                <w:numId w:val="0"/>
              </w:numPr>
            </w:pPr>
          </w:p>
          <w:p w14:paraId="57095FA6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numPr>
                <w:ilvl w:val="0"/>
                <w:numId w:val="0"/>
              </w:numPr>
            </w:pPr>
            <w:r>
              <w:rPr>
                <w:rFonts w:hint="eastAsia" w:asciiTheme="majorEastAsia" w:hAnsiTheme="majorEastAsia" w:eastAsiaTheme="majorEastAsia" w:cstheme="majorEastAsia" w:ascii="宋体" w:hAnsi="宋体" w:eastAsia="宋体" w:cs="宋体"/>
                <w:b/>
                <w:bCs w:val="0"/>
                <w:i w:val="0"/>
                <w:color w:val="00000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花径活动室</w:t>
            </w: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852474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  <w:lang w:val="en-US" w:eastAsia="zh-CN"/>
              </w:rPr>
              <w:t>安静办公</w:t>
            </w: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031AC9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</w:rPr>
              <w:t>配置30个座位，月均活动8场，问题闭环率90%。</w:t>
            </w:r>
          </w:p>
        </w:tc>
      </w:tr>
      <w:tr w14:paraId="4B0D65F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3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CD38F8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</w:rPr>
              <w:t>海风书房</w:t>
            </w: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6D8064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  <w:lang w:val="en-US" w:eastAsia="zh-CN"/>
              </w:rPr>
              <w:t>周末沙龙</w:t>
            </w: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F2E49D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  <w:lang w:val="en-US" w:eastAsia="zh-CN"/>
              </w:rPr>
              <w:t>配置33个座位，月均活动9场，问题闭环率92%。</w:t>
            </w:r>
          </w:p>
        </w:tc>
      </w:tr>
      <w:tr w14:paraId="2C2A9A5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7" w:hRule="atLeast"/>
          <w:cantSplit/>
        </w:trPr>
        <w:tc>
          <w:tcPr>
            <w:tcW w:w="103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9D9FE4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</w:rPr>
              <w:t>松石书屋</w:t>
            </w: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9B7C79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  <w:lang w:val="en-US" w:eastAsia="zh-CN"/>
              </w:rPr>
              <w:t>晨间自习</w:t>
            </w: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tbl>
            <w:tblPr>
              <w:tblStyle w:val="9"/>
              <w:tblW w:w="7488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488"/>
            </w:tblGrid>
            <w:tr w14:paraId="470882B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752" w:hRule="atLeast"/>
                <w:jc w:val="center"/>
              </w:trPr>
              <w:tc>
                <w:tcPr>
                  <w:tcW w:w="7488" w:type="dxa"/>
                  <w:shd w:val="clear" w:color="auto" w:fill="FFFFFF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 w14:paraId="6F82E2AF">
                  <w:pPr>
                    <w:keepNext w:val="0"/>
                    <w:keepLines w:val="0"/>
                    <w:suppressLineNumbers w:val="0"/>
                    <w:spacing w:before="60" w:beforeAutospacing="0" w:after="60" w:afterAutospacing="0" w:line="240" w:lineRule="auto"/>
                    <w:ind w:left="0" w:leftChars="0" w:right="0" w:firstLine="1260" w:firstLineChars="600"/>
                    <w:jc w:val="both"/>
                    <w:rPr>
                      <w:rFonts w:hint="eastAsia" w:ascii="黑体" w:hAnsi="黑体" w:eastAsia="宋体" w:cs="黑体"/>
                      <w:b w:val="0"/>
                      <w:i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宋体" w:cs="黑体"/>
                      <w:b w:val="0"/>
                      <w:i w:val="0"/>
                      <w:color w:val="000000"/>
                      <w:vertAlign w:val="baseline"/>
                      <w:lang w:val="en-US" w:eastAsia="zh-CN"/>
                    </w:rPr>
                    <w:t>配置50个座位，月均活动15场，问题闭环率92%。</w:t>
                  </w:r>
                </w:p>
              </w:tc>
            </w:tr>
          </w:tbl>
          <w:p w14:paraId="644FB908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</w:p>
        </w:tc>
      </w:tr>
      <w:tr w14:paraId="07C58A7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  <w:cantSplit/>
        </w:trPr>
        <w:tc>
          <w:tcPr>
            <w:tcW w:w="103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F8313F">
            <w:pPr>
              <w:keepNext w:val="0"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numPr>
                <w:ilvl w:val="0"/>
                <w:numId w:val="0"/>
              </w:numPr>
            </w:pPr>
            <w:r>
              <w:rPr>
                <w:rFonts w:hint="eastAsia" w:asciiTheme="majorEastAsia" w:hAnsiTheme="majorEastAsia" w:eastAsiaTheme="majorEastAsia" w:cstheme="majorEastAsia" w:ascii="宋体" w:hAnsi="宋体" w:eastAsia="宋体" w:cs="宋体"/>
                <w:b/>
                <w:bCs w:val="0"/>
                <w:i w:val="0"/>
                <w:color w:val="000000"/>
                <w:sz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云汀阅读角</w:t>
            </w:r>
          </w:p>
          <w:p w14:paraId="62E13754">
            <w:pPr>
              <w:keepNext w:val="0"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numPr>
                <w:ilvl w:val="0"/>
                <w:numId w:val="0"/>
              </w:numPr>
            </w:pP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AE366B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  <w:lang w:val="en-US" w:eastAsia="zh-CN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  <w:lang w:val="en-US" w:eastAsia="zh-CN"/>
              </w:rPr>
              <w:t>亲子共读</w:t>
            </w: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3FC721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</w:rPr>
              <w:t>配置39个座位，月均活动5场，问题闭环率96%。</w:t>
            </w:r>
          </w:p>
        </w:tc>
      </w:tr>
      <w:tr w14:paraId="54AD47A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33" w:type="dxa"/>
            <w:vMerge w:val="continue"/>
            <w:tcBorders>
              <w:tl2br w:val="nil"/>
              <w:tr2bl w:val="nil"/>
            </w:tcBorders>
            <w:shd w:val="clear" w:color="auto" w:fill="auto"/>
          </w:tcPr>
          <w:p w14:paraId="53C6E0A0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="黑体" w:hAnsi="黑体" w:eastAsia="黑体" w:cs="黑体"/>
                <w:b/>
                <w:i w:val="0"/>
                <w:color w:val="FFFFFF"/>
                <w:vertAlign w:val="baseline"/>
              </w:rPr>
            </w:pPr>
            <w:r>
              <w:rPr>
                <w:rFonts w:hint="default"/>
              </w:rPr>
              <w:t>蓝湾文化站</w:t>
            </w: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191ABE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</w:rPr>
              <w:t>旧书交换</w:t>
            </w: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6BCCD2">
            <w:pPr>
              <w:keepNext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</w:rPr>
              <w:t>配置42个座位，月均活动6场，问题闭环率82%。</w:t>
            </w:r>
          </w:p>
        </w:tc>
      </w:tr>
      <w:tr w14:paraId="3ED6CFF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33" w:type="dxa"/>
            <w:vMerge w:val="continue"/>
            <w:tcBorders>
              <w:tl2br w:val="nil"/>
              <w:tr2bl w:val="nil"/>
            </w:tcBorders>
            <w:shd w:val="clear" w:color="auto" w:fill="auto"/>
          </w:tcPr>
          <w:p w14:paraId="66EF1A0F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="黑体" w:hAnsi="黑体" w:eastAsia="黑体" w:cs="黑体"/>
                <w:b/>
                <w:i w:val="0"/>
                <w:color w:val="FFFFFF"/>
                <w:vertAlign w:val="baseline"/>
              </w:rPr>
            </w:pPr>
            <w:r>
              <w:rPr>
                <w:rFonts w:hint="default"/>
              </w:rPr>
              <w:t>银杏书舍</w:t>
            </w: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3A2C57">
            <w:pPr>
              <w:keepNext w:val="0"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</w:rPr>
              <w:t>主题书展</w:t>
            </w: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CE36A2">
            <w:pPr>
              <w:keepNext w:val="0"/>
              <w:keepLines/>
              <w:suppressLineNumbers w:val="0"/>
              <w:spacing w:beforeAutospacing="0" w:after="0" w:afterAutospacing="0" w:line="240" w:lineRule="auto" w:beforeLines="0"/>
              <w:ind w:left="0" w:leftChars="0" w:right="0" w:firstLineChars="0"/>
              <w:jc w:val="left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vertAlign w:val="baseline"/>
              </w:rPr>
              <w:t>配置45个座位，月均活动7场，问题闭环率84%。</w:t>
            </w:r>
          </w:p>
        </w:tc>
      </w:tr>
    </w:tbl>
    <w:p w14:paraId="29F3C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 w:beforeLines="0" w:after="0"/>
        <w:jc w:val="left"/>
        <w:textAlignment w:val="auto"/>
        <w:rPr>
          <w:rFonts w:hint="eastAsia"/>
        </w:rPr>
        <w:ind w:firstLineChars="0"/>
        <w:numPr>
          <w:ilvl w:val="0"/>
          <w:numId w:val="0"/>
        </w:numPr>
      </w:pPr>
    </w:p>
    <w:p w14:paraId="26EC2448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rPr>
          <w:rFonts w:hint="eastAsia"/>
          <w:b w:val="0"/>
          <w:bCs w:val="0"/>
          <w:sz w:val="30"/>
          <w:szCs w:val="30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（七）服务覆盖与可达性分析</w:t>
      </w:r>
    </w:p>
    <w:p w14:paraId="1DA2C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Lines="50" w:after="0"/>
        <w:ind w:firstLineChars="200"/>
        <w:jc w:val="both"/>
        <w:textAlignment w:val="auto"/>
        <w:rPr>
          <w:rFonts w:hint="eastAsia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23个服务节点、5类核心场景，阶段满意度约为90%，一般问题在13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</w:t>
      </w:r>
    </w:p>
    <w:p w14:paraId="62689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Lines="50" w:after="0"/>
        <w:ind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本轮记录覆盖30个服务节点、6类核心场景，阶段满意度约为65%，一般问题在14天内完成闭环。数据采集坚持必要、适度、可解释的原则，不收集与阅读服务无关的个人信息。</w:t>
      </w:r>
    </w:p>
    <w:p w14:paraId="1ED99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Lines="50" w:after="0"/>
        <w:ind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</w:t>
      </w:r>
    </w:p>
    <w:p w14:paraId="3E512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Lines="50" w:after="0"/>
        <w:ind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活动设计应避免单纯追求数量，重点关注读者是否愿意再次参加、是否产生持续阅读行为、是否带动家庭成员共同使用空间。物资管理采用低库存、快补给原则。常用耗材按周盘点，活动材料按场次核销。</w:t>
      </w:r>
    </w:p>
    <w:p w14:paraId="2DDD30A7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 w:beforeLines="25" w:after="0"/>
        <w:ind w:firstLineChars="0"/>
        <w:jc w:val="left"/>
        <w:textAlignment w:val="auto"/>
        <w:rPr>
          <w:rFonts w:hint="eastAsia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1.覆盖度分析</w:t>
      </w:r>
    </w:p>
    <w:p w14:paraId="4B09D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 w:beforeLines="50" w:after="0"/>
        <w:ind w:firstLineChars="200"/>
        <w:jc w:val="both"/>
        <w:textAlignment w:val="auto"/>
        <w:rPr>
          <w:rFonts w:hint="default" w:eastAsiaTheme="minorEastAsia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志愿者参与以轻任务为主，包括书架整理、活动引导、亲子阅读陪伴、旧书交换登记和社区故事收集。</w:t>
      </w:r>
    </w:p>
    <w:p w14:paraId="57D5BF02">
      <w:pPr>
        <w:ind w:firstLineChars="0"/>
        <w:jc w:val="center"/>
        <w:rPr>
          <w:rFonts w:hint="eastAsia"/>
        </w:rPr>
        <w:keepNext/>
        <w:keepLines/>
        <w:spacing w:line="240" w:lineRule="auto" w:beforeLines="0" w:after="0"/>
        <w:numPr>
          <w:ilvl w:val="0"/>
          <w:numId w:val="0"/>
        </w:numPr>
      </w:pPr>
      <w:r>
        <w:rPr>
          <w:sz w:val="28"/>
          <w:szCs w:val="36"/>
        </w:rPr>
        <w:drawing>
          <wp:inline distT="0" distB="0" distL="114300" distR="114300">
            <wp:extent cx="2413000" cy="1897380"/>
            <wp:effectExtent l="0" t="0" r="6350" b="7620"/>
            <wp:docPr id="50" name="图片 12" descr="e821a5a69f36492e21b1e1479acf5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2" descr="e821a5a69f36492e21b1e1479acf57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36"/>
        </w:rPr>
        <w:t xml:space="preserve">      </w:t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9  覆盖度分析空间动线图</w:t>
      </w:r>
    </w:p>
    <w:p w14:paraId="34D94C02">
      <w:pPr>
        <w:pStyle w:val="7"/>
        <w:jc w:val="left"/>
        <w:rPr>
          <w:rFonts w:hint="eastAsia"/>
        </w:rPr>
        <w:keepNext w:val="0"/>
        <w:keepLines w:val="0"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hint="eastAsia"/>
        </w:rPr>
        <w:t xml:space="preserve">      </w:t>
      </w:r>
    </w:p>
    <w:p w14:paraId="70654D26">
      <w:pPr>
        <w:keepNext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hint="eastAsia"/>
          <w:sz w:val="28"/>
          <w:szCs w:val="36"/>
        </w:rPr>
        <w:drawing>
          <wp:inline distT="0" distB="0" distL="114300" distR="114300">
            <wp:extent cx="2574925" cy="1891665"/>
            <wp:effectExtent l="0" t="0" r="15875" b="13335"/>
            <wp:docPr id="52" name="图片 52" descr="51951b4bc47bd80b8e85aee775039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51951b4bc47bd80b8e85aee775039e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492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10  覆盖度分析阅读服务看板</w:t>
      </w:r>
    </w:p>
    <w:p w14:paraId="7DA16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 w:beforeLines="0" w:after="0"/>
        <w:ind w:firstLineChars="0"/>
        <w:jc w:val="left"/>
        <w:textAlignment w:val="auto"/>
        <w:rPr>
          <w:rFonts w:hint="eastAsia"/>
          <w:sz w:val="24"/>
          <w:szCs w:val="24"/>
          <w:lang w:val="en-US" w:eastAsia="zh-CN"/>
        </w:rPr>
        <w:numPr>
          <w:ilvl w:val="0"/>
          <w:numId w:val="0"/>
        </w:numPr>
      </w:pPr>
    </w:p>
    <w:p w14:paraId="3AC4FB78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 w:beforeLines="25" w:after="0"/>
        <w:ind w:firstLineChars="0"/>
        <w:jc w:val="left"/>
        <w:textAlignment w:val="auto"/>
        <w:rPr>
          <w:rFonts w:hint="eastAsia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2.可达性分析</w:t>
      </w:r>
    </w:p>
    <w:p w14:paraId="28FC8E53">
      <w:pPr>
        <w:keepNext w:val="0"/>
        <w:keepLines w:val="0"/>
        <w:pageBreakBefore w:val="0"/>
        <w:widowControl w:val="0"/>
        <w:ind w:firstLineChars="20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spacing w:line="300" w:lineRule="auto" w:beforeLines="50" w:after="0"/>
        <w:numPr>
          <w:ilvl w:val="0"/>
          <w:numId w:val="0"/>
        </w:numPr>
      </w:pPr>
      <w:r>
        <w:rPr>
          <w:rFonts w:hint="eastAsia" w:asciiTheme="minorHAnsi" w:hAnsiTheme="minorHAnsi" w:eastAsiaTheme="minorEastAsia" w:cstheme="minorBidi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</w:t>
      </w:r>
    </w:p>
    <w:p w14:paraId="54BC7A95">
      <w:pPr>
        <w:keepNext w:val="0"/>
        <w:keepLines w:val="0"/>
        <w:pageBreakBefore w:val="0"/>
        <w:widowControl w:val="0"/>
        <w:ind w:firstLineChars="20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spacing w:line="300" w:lineRule="auto" w:beforeLines="50" w:after="0"/>
        <w:numPr>
          <w:ilvl w:val="0"/>
          <w:numId w:val="0"/>
        </w:numPr>
      </w:pPr>
      <w:r>
        <w:rPr>
          <w:rFonts w:hint="eastAsia" w:asciiTheme="minorHAnsi" w:hAnsiTheme="minorHAnsi" w:eastAsiaTheme="minorEastAsia" w:cstheme="minorBidi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22个服务节点、6类核心场景，阶段满意度约为89%，一般问题在11天内完成闭环。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</w:t>
      </w:r>
    </w:p>
    <w:p w14:paraId="7E062F24">
      <w:pPr>
        <w:keepNext w:val="0"/>
        <w:keepLines w:val="0"/>
        <w:pageBreakBefore w:val="0"/>
        <w:widowControl w:val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spacing w:line="300" w:lineRule="auto" w:beforeLines="50" w:after="0"/>
        <w:ind w:firstLineChars="200"/>
        <w:numPr>
          <w:ilvl w:val="0"/>
          <w:numId w:val="0"/>
        </w:numPr>
      </w:pPr>
      <w:r>
        <w:rPr>
          <w:rFonts w:hint="eastAsia" w:asciiTheme="minorHAnsi" w:hAnsiTheme="minorHAnsi" w:eastAsiaTheme="minorEastAsia" w:cstheme="minorBidi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运营团队将每日开闭馆、借阅登记、场地巡检、活动签到、物资补充和意见反馈纳入同一张工作清单。</w:t>
      </w:r>
    </w:p>
    <w:p w14:paraId="1F1501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 w:beforeLines="0"/>
        <w:ind w:right="0" w:firstLineChars="0"/>
        <w:jc w:val="left"/>
        <w:textAlignment w:val="auto"/>
        <w:numPr>
          <w:ilvl w:val="0"/>
          <w:numId w:val="0"/>
        </w:numPr>
      </w:pPr>
    </w:p>
    <w:p w14:paraId="0CDD449F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jc w:val="center"/>
        <w:textAlignment w:val="auto"/>
        <w:rPr>
          <w:rFonts w:hint="default" w:ascii="宋体" w:hAnsi="宋体" w:eastAsia="宋体" w:cs="宋体"/>
          <w:b w:val="0"/>
          <w:bCs w:val="0"/>
          <w:sz w:val="18"/>
          <w:szCs w:val="18"/>
          <w:lang w:val="en-US" w:eastAsia="zh-CN"/>
        </w:rPr>
        <w:spacing w:line="240" w:lineRule="auto" w:beforeLines="0" w:after="0"/>
        <w:numPr>
          <w:ilvl w:val="0"/>
          <w:numId w:val="0"/>
        </w:numPr>
      </w:pPr>
      <w:r>
        <w:drawing>
          <wp:inline distT="0" distB="0" distL="0" distR="0">
            <wp:extent cx="2456180" cy="1652270"/>
            <wp:effectExtent l="0" t="0" r="1270" b="5080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11  可达性分析共创反馈闭环图</w:t>
      </w:r>
    </w:p>
    <w:p w14:paraId="72490C59">
      <w:pPr>
        <w:keepNext w:val="0"/>
        <w:keepLines w:val="0"/>
        <w:tabs>
          <w:tab w:val="left" w:pos="5267"/>
        </w:tabs>
        <w:bidi w:val="0"/>
        <w:jc w:val="left"/>
        <w:rPr>
          <w:rFonts w:hint="default"/>
          <w:lang w:val="en-US" w:eastAsia="zh-CN"/>
        </w:rPr>
        <w:spacing w:line="240" w:lineRule="auto" w:beforeLines="0" w:after="0"/>
        <w:ind w:firstLineChars="0"/>
        <w:numPr>
          <w:ilvl w:val="0"/>
          <w:numId w:val="0"/>
        </w:numPr>
      </w:pPr>
    </w:p>
    <w:p w14:paraId="1225D2C3">
      <w:pPr>
        <w:pStyle w:val="2"/>
        <w:keepNext/>
        <w:keepLines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Lines="50" w:beforeAutospacing="0" w:line="240" w:lineRule="auto" w:after="0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ind w:firstLineChars="0"/>
      </w:pPr>
      <w:r>
        <w:rPr>
          <w:rFonts w:ascii="黑体" w:hAnsi="黑体" w:eastAsia="黑体" w:cs="黑体"/>
          <w:b/>
          <w:color w:val="000000"/>
          <w:sz w:val="30"/>
        </w:rPr>
        <w:t>三、数据采集原则</w:t>
      </w:r>
    </w:p>
    <w:p w14:paraId="22EFC0E2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rPr>
          <w:rFonts w:hint="default"/>
          <w:b w:val="0"/>
          <w:bCs w:val="0"/>
          <w:sz w:val="30"/>
          <w:szCs w:val="30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（一）采集情况分析</w:t>
      </w:r>
    </w:p>
    <w:p w14:paraId="51C555FA">
      <w:pPr>
        <w:pStyle w:val="4"/>
        <w:keepNext/>
        <w:keepLines/>
        <w:pageBreakBefore w:val="0"/>
        <w:spacing w:beforeLines="25" w:after="0" w:line="240" w:lineRule="auto"/>
        <w:ind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1.社区共建参与情况分析</w:t>
      </w:r>
    </w:p>
    <w:p w14:paraId="14469145">
      <w:pPr>
        <w:keepNext/>
        <w:keepLines/>
        <w:numPr>
          <w:ilvl w:val="0"/>
          <w:numId w:val="0"/>
        </w:numPr>
        <w:spacing w:beforeLines="0" w:after="0" w:line="240" w:lineRule="auto"/>
        <w:jc w:val="center"/>
        <w:rPr>
          <w:rFonts w:hint="eastAsia" w:ascii="宋体" w:hAnsi="宋体" w:eastAsia="宋体" w:cs="宋体"/>
          <w:sz w:val="24"/>
          <w:szCs w:val="24"/>
        </w:rPr>
        <w:ind w:firstLineChars="0"/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752975" cy="2371725"/>
            <wp:effectExtent l="0" t="0" r="1905" b="36195"/>
            <wp:docPr id="631121314" name="图表 1" descr="7b0a202020202263686172745265734964223a20223230343736393437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12  社区服务使用频次分布图</w:t>
      </w:r>
    </w:p>
    <w:p w14:paraId="5E385113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50个服务节点、2类核心场景，阶段满意度约为73%，一般问题在15天内完成闭环。物资管理采用低库存、快补给原则。常用耗材按周盘点，活动材料按场次核销，设备维修按紧急程度分为即时处理、三日内处理和月度集中处理三类。</w:t>
      </w:r>
      <w:bookmarkStart w:id="41" w:name="_Toc6484"/>
    </w:p>
    <w:p w14:paraId="1992A462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物资管理采用低库存、快补给原则。常用耗材按周盘点，活动材料按场次核销</w:t>
      </w:r>
      <w:bookmarkEnd w:id="41"/>
    </w:p>
    <w:p w14:paraId="7E4B06EB">
      <w:pPr>
        <w:keepNext/>
        <w:keepLines/>
        <w:numPr>
          <w:ilvl w:val="0"/>
          <w:numId w:val="0"/>
        </w:numPr>
        <w:spacing w:beforeLines="0" w:after="0" w:line="240" w:lineRule="auto"/>
        <w:jc w:val="center"/>
        <w:rPr>
          <w:rFonts w:hint="eastAsia" w:ascii="宋体" w:hAnsi="宋体" w:eastAsia="宋体" w:cs="宋体"/>
          <w:sz w:val="24"/>
          <w:szCs w:val="24"/>
        </w:rPr>
        <w:ind w:firstLineChars="0"/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481955" cy="2157730"/>
            <wp:effectExtent l="0" t="0" r="4445" b="6350"/>
            <wp:docPr id="24" name="图表 24" descr="7b0a202020202263686172745265734964223a20223230303135383135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13  社区服务需求分布图</w:t>
      </w:r>
    </w:p>
    <w:p w14:paraId="44DF8CC0">
      <w:pPr>
        <w:keepNext w:val="0"/>
        <w:keepLines w:val="0"/>
        <w:pageBreakBefore w:val="0"/>
        <w:numPr>
          <w:ilvl w:val="0"/>
          <w:numId w:val="0"/>
        </w:numPr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本轮记录覆盖64个服务节点、4类核心场景，阶段满意度约为79%，一般问题在17天内完成闭环。数据采集坚持必要、适度、可解释的原则，不收集与阅读服务无关的个人信息。</w:t>
      </w:r>
    </w:p>
    <w:p w14:paraId="5FF12DB5">
      <w:pPr>
        <w:pStyle w:val="4"/>
        <w:keepNext/>
        <w:keepLines/>
        <w:pageBreakBefore w:val="0"/>
        <w:numPr>
          <w:ilvl w:val="0"/>
          <w:numId w:val="0"/>
        </w:numPr>
        <w:spacing w:beforeLines="25" w:after="0" w:line="240" w:lineRule="auto"/>
        <w:ind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 w:val="0"/>
          <w:color w:val="000000"/>
          <w:sz w:val="24"/>
        </w:rPr>
        <w:t>2.读者参与共建的认同情况</w:t>
      </w:r>
    </w:p>
    <w:p w14:paraId="7908CE19">
      <w:pPr>
        <w:keepNext/>
        <w:keepLines/>
        <w:numPr>
          <w:ilvl w:val="0"/>
          <w:numId w:val="0"/>
        </w:numPr>
        <w:spacing w:beforeLines="0" w:after="0" w:line="240" w:lineRule="auto"/>
        <w:jc w:val="center"/>
        <w:rPr>
          <w:rFonts w:hint="eastAsia" w:ascii="宋体" w:hAnsi="宋体" w:eastAsia="宋体" w:cs="宋体"/>
          <w:sz w:val="24"/>
          <w:szCs w:val="24"/>
        </w:rPr>
        <w:ind w:firstLineChars="0"/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788535" cy="2626995"/>
            <wp:effectExtent l="0" t="0" r="12065" b="9525"/>
            <wp:docPr id="149546792" name="图表 1" descr="7b0a202020202263686172745265734964223a20223230343736393431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14  未使用社区服务的原因分布图</w:t>
      </w:r>
    </w:p>
    <w:p w14:paraId="77535C04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</w:t>
      </w:r>
    </w:p>
    <w:p w14:paraId="09565B7E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</w:t>
      </w:r>
    </w:p>
    <w:p w14:paraId="38463968">
      <w:pPr>
        <w:pStyle w:val="4"/>
        <w:keepNext/>
        <w:keepLines/>
        <w:pageBreakBefore w:val="0"/>
        <w:numPr>
          <w:ilvl w:val="0"/>
          <w:numId w:val="0"/>
        </w:numPr>
        <w:spacing w:beforeLines="25" w:after="0" w:line="240" w:lineRule="auto"/>
        <w:ind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 w:val="0"/>
          <w:color w:val="000000"/>
          <w:sz w:val="24"/>
        </w:rPr>
        <w:t>3.读者参与共建的意愿调查</w:t>
      </w:r>
    </w:p>
    <w:p w14:paraId="6497511F">
      <w:pPr>
        <w:keepNext/>
        <w:keepLines/>
        <w:numPr>
          <w:ilvl w:val="0"/>
          <w:numId w:val="0"/>
        </w:numPr>
        <w:spacing w:beforeLines="0" w:after="0" w:line="24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  <w:ind w:firstLineChars="0"/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56530" cy="2988310"/>
            <wp:effectExtent l="0" t="0" r="1270" b="13970"/>
            <wp:docPr id="23" name="图表 23" descr="7b0a202020202263686172745265734964223a20223230343736393933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15  社区服务点覆盖度评价图</w:t>
      </w:r>
    </w:p>
    <w:p w14:paraId="05BF551D">
      <w:pPr>
        <w:keepNext w:val="0"/>
        <w:keepLines w:val="0"/>
        <w:pageBreakBefore w:val="0"/>
        <w:numPr>
          <w:ilvl w:val="0"/>
          <w:numId w:val="0"/>
        </w:numPr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28个服务节点、8类核心场景，阶段满意度约为91%，一般问题在10天内完成闭环。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数据采集坚持必要、适度、可解释的原则，不收集与阅读服务无关的个人信息。</w:t>
      </w:r>
    </w:p>
    <w:p w14:paraId="0E536836">
      <w:pPr>
        <w:pStyle w:val="4"/>
        <w:keepNext/>
        <w:keepLines/>
        <w:pageBreakBefore w:val="0"/>
        <w:spacing w:beforeLines="25" w:after="0" w:line="240" w:lineRule="auto"/>
        <w:ind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4.参与社区阅读服务的经历分析</w:t>
      </w:r>
    </w:p>
    <w:p w14:paraId="3F8A26F9">
      <w:pPr>
        <w:keepNext/>
        <w:keepLines/>
        <w:spacing w:beforeLines="0" w:after="0" w:line="24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  <w:ind w:firstLineChars="0"/>
        <w:numPr>
          <w:ilvl w:val="0"/>
          <w:numId w:val="0"/>
        </w:num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796280" cy="3051810"/>
            <wp:effectExtent l="0" t="0" r="7620" b="8890"/>
            <wp:docPr id="21" name="图表 21" descr="7b0a202020202263686172745265734964223a20223230343736303336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16  社区服务可达性评价图</w:t>
      </w:r>
    </w:p>
    <w:p w14:paraId="4DDA13C7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35个服务节点、9类核心场景，阶段满意度约为66%，一般问题在11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物资管理采用低库存、快补给原则。</w:t>
      </w:r>
    </w:p>
    <w:p w14:paraId="3DF0D37E">
      <w:pPr>
        <w:keepNext w:val="0"/>
        <w:keepLines w:val="0"/>
        <w:spacing w:beforeLines="0" w:after="0" w:line="240" w:lineRule="auto"/>
        <w:ind w:firstLineChars="0"/>
        <w:jc w:val="left"/>
        <w:rPr>
          <w:rFonts w:hint="eastAsia" w:ascii="宋体" w:hAnsi="宋体" w:eastAsia="宋体" w:cs="宋体"/>
          <w:sz w:val="24"/>
          <w:szCs w:val="24"/>
        </w:rPr>
        <w:numPr>
          <w:ilvl w:val="0"/>
          <w:numId w:val="0"/>
        </w:numPr>
      </w:pPr>
    </w:p>
    <w:p w14:paraId="323389B8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rPr>
          <w:rFonts w:hint="default"/>
          <w:b w:val="0"/>
          <w:bCs w:val="0"/>
          <w:sz w:val="30"/>
          <w:szCs w:val="30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（二）数据采集失败分析</w:t>
      </w:r>
    </w:p>
    <w:p w14:paraId="7E798163">
      <w:pPr>
        <w:pStyle w:val="4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25" w:beforeAutospacing="0" w:line="240" w:lineRule="auto" w:after="0"/>
        <w:jc w:val="lef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  <w:ind w:firstLineChars="0"/>
      </w:pPr>
      <w:r>
        <w:rPr>
          <w:rFonts w:ascii="宋体" w:hAnsi="宋体" w:eastAsia="宋体" w:cs="宋体"/>
          <w:b w:val="0"/>
          <w:color w:val="000000"/>
          <w:sz w:val="24"/>
        </w:rPr>
        <w:t>1.未参与社区阅读服务的原因分析</w:t>
      </w:r>
    </w:p>
    <w:p w14:paraId="2BA967B1">
      <w:pPr>
        <w:keepNext/>
        <w:keepLines/>
        <w:numPr>
          <w:ilvl w:val="0"/>
          <w:numId w:val="0"/>
        </w:numPr>
        <w:spacing w:beforeLines="0" w:after="0" w:line="240" w:lineRule="auto"/>
        <w:jc w:val="center"/>
        <w:rPr>
          <w:rFonts w:hint="eastAsia"/>
        </w:rPr>
        <w:ind w:firstLineChars="0"/>
      </w:pPr>
      <w:r>
        <w:rPr>
          <w:rFonts w:hint="eastAsia"/>
        </w:rPr>
        <w:drawing>
          <wp:inline distT="0" distB="0" distL="114300" distR="114300">
            <wp:extent cx="4766310" cy="2647950"/>
            <wp:effectExtent l="0" t="0" r="3810" b="34290"/>
            <wp:docPr id="22" name="图表 22" descr="7b0a202020202263686172745265734964223a20223230343732323235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17  读者参与社区共建认同度图</w:t>
      </w:r>
    </w:p>
    <w:p w14:paraId="5BE244F1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本轮记录覆盖49个服务节点、3类核心场景，阶段满意度约为72%，一般问题在13天内完成闭环。</w:t>
      </w:r>
    </w:p>
    <w:p w14:paraId="44107E0D">
      <w:pPr>
        <w:pStyle w:val="5"/>
        <w:keepNext/>
        <w:keepLines/>
        <w:pageBreakBefore w:val="0"/>
        <w:spacing w:beforeLines="25" w:after="0" w:line="240" w:lineRule="auto"/>
        <w:ind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（1）活动设计应避免单纯追求数量，重点关注读者是否愿意再次参加</w:t>
      </w:r>
    </w:p>
    <w:p w14:paraId="2D865143">
      <w:pPr>
        <w:keepNext/>
        <w:keepLines/>
        <w:numPr>
          <w:ilvl w:val="0"/>
          <w:numId w:val="0"/>
        </w:numPr>
        <w:spacing w:beforeLines="0" w:after="0" w:line="240" w:lineRule="auto"/>
        <w:jc w:val="center"/>
        <w:rPr>
          <w:rFonts w:hint="eastAsia"/>
        </w:rPr>
        <w:ind w:firstLineChars="0"/>
      </w:pPr>
      <w:r>
        <w:rPr>
          <w:rFonts w:hint="eastAsia"/>
        </w:rPr>
        <w:drawing>
          <wp:inline distT="0" distB="0" distL="114300" distR="114300">
            <wp:extent cx="4842510" cy="3050540"/>
            <wp:effectExtent l="0" t="0" r="3810" b="12700"/>
            <wp:docPr id="25" name="图表 25" descr="7b0a202020202263686172745265734964223a20223230343736383032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18  读者参与社区共建意愿图</w:t>
      </w:r>
    </w:p>
    <w:p w14:paraId="73F328B5">
      <w:pPr>
        <w:keepNext w:val="0"/>
        <w:keepLines w:val="0"/>
        <w:pageBreakBefore w:val="0"/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 本轮记录覆盖63个服务节点、5类核心场景，阶段满意度约为78%，一般问题在15天内完成闭环。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</w:t>
      </w:r>
    </w:p>
    <w:p w14:paraId="00D4F3C9">
      <w:pPr>
        <w:pStyle w:val="5"/>
        <w:keepNext/>
        <w:keepLines/>
        <w:pageBreakBefore w:val="0"/>
        <w:spacing w:beforeLines="25" w:after="0" w:line="240" w:lineRule="auto"/>
        <w:ind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（2）服务升级偏好</w:t>
      </w:r>
    </w:p>
    <w:p w14:paraId="3DD553F9">
      <w:pPr>
        <w:keepNext/>
        <w:keepLines/>
        <w:numPr>
          <w:ilvl w:val="0"/>
          <w:numId w:val="0"/>
        </w:numPr>
        <w:spacing w:beforeLines="0" w:after="0" w:line="240" w:lineRule="auto"/>
        <w:jc w:val="center"/>
        <w:rPr>
          <w:rFonts w:hint="eastAsia" w:ascii="宋体" w:hAnsi="宋体" w:eastAsia="宋体" w:cs="宋体"/>
          <w:sz w:val="24"/>
          <w:szCs w:val="24"/>
        </w:rPr>
        <w:ind w:firstLineChars="0"/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585970" cy="2626995"/>
            <wp:effectExtent l="0" t="0" r="1270" b="40005"/>
            <wp:docPr id="464103777" name="图表 1" descr="7b0a202020202263686172745265734964223a20223230343737303034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19  读者社区服务参与经历图</w:t>
      </w:r>
    </w:p>
    <w:p w14:paraId="2BE6615E">
      <w:pPr>
        <w:keepNext w:val="0"/>
        <w:keepLines w:val="0"/>
        <w:pageBreakBefore w:val="0"/>
        <w:numPr>
          <w:ilvl w:val="0"/>
          <w:numId w:val="0"/>
        </w:numPr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70个服务节点、6类核心场景，阶段满意度约为81%，一般问题在16天内完成闭环。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为提升服务的真实可达性，方案建议在社区公告栏、学校门口、商街转角和线上小程序同步发布开放时间、活动日历与预约规则。</w:t>
      </w:r>
    </w:p>
    <w:p w14:paraId="3122F29E">
      <w:pPr>
        <w:keepNext w:val="0"/>
        <w:keepLines w:val="0"/>
        <w:numPr>
          <w:ilvl w:val="0"/>
          <w:numId w:val="0"/>
        </w:numPr>
        <w:spacing w:beforeLines="0" w:after="0" w:line="24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ind w:firstLineChars="0"/>
      </w:pPr>
    </w:p>
    <w:p w14:paraId="7B3F5916">
      <w:pPr>
        <w:pStyle w:val="5"/>
        <w:keepNext/>
        <w:keepLines/>
        <w:pageBreakBefore w:val="0"/>
        <w:spacing w:beforeLines="25" w:after="0" w:line="240" w:lineRule="auto"/>
        <w:ind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（3）空间升级——布局偏好分析</w:t>
      </w:r>
    </w:p>
    <w:p w14:paraId="60F77FE2">
      <w:pPr>
        <w:keepNext/>
        <w:keepLines/>
        <w:numPr>
          <w:ilvl w:val="0"/>
          <w:numId w:val="0"/>
        </w:numPr>
        <w:spacing w:beforeLines="0" w:after="0" w:line="240" w:lineRule="auto"/>
        <w:jc w:val="center"/>
        <w:rPr>
          <w:rFonts w:hint="eastAsia" w:ascii="宋体" w:hAnsi="宋体" w:eastAsia="宋体" w:cs="宋体"/>
          <w:sz w:val="24"/>
          <w:szCs w:val="24"/>
        </w:rPr>
        <w:ind w:firstLineChars="0"/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956810" cy="2863215"/>
            <wp:effectExtent l="0" t="0" r="0" b="0"/>
            <wp:docPr id="680989705" name="图表 1" descr="7b0a202020202263686172745265734964223a20223230343736323736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20  未参与社区服务原因图</w:t>
      </w:r>
    </w:p>
    <w:p w14:paraId="664E2F9D">
      <w:pPr>
        <w:keepNext w:val="0"/>
        <w:keepLines w:val="0"/>
        <w:pageBreakBefore w:val="0"/>
        <w:numPr>
          <w:ilvl w:val="0"/>
          <w:numId w:val="0"/>
        </w:numPr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 本轮记录覆盖77个服务节点、7类核心场景，阶段满意度约为84%，一般问题在17天内完成闭环。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</w:t>
      </w:r>
    </w:p>
    <w:p w14:paraId="582B5AD2">
      <w:pPr>
        <w:keepNext w:val="0"/>
        <w:keepLines w:val="0"/>
        <w:pageBreakBefore w:val="0"/>
        <w:numPr>
          <w:ilvl w:val="0"/>
          <w:numId w:val="0"/>
        </w:numPr>
        <w:spacing w:beforeLines="50" w:after="0" w:line="300" w:lineRule="auto"/>
        <w:ind w:firstLineChars="20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本轮记录覆盖20个服务节点、8类核心场景，阶段满意度约为87%，一般问题在7天内完成闭环。</w:t>
      </w:r>
    </w:p>
    <w:p w14:paraId="5C7BB9FB">
      <w:pPr>
        <w:pStyle w:val="4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25" w:beforeAutospacing="0" w:line="240" w:lineRule="auto" w:after="0"/>
        <w:jc w:val="lef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  <w:ind w:firstLineChars="0"/>
      </w:pPr>
      <w:r>
        <w:rPr>
          <w:rFonts w:ascii="宋体" w:hAnsi="宋体" w:eastAsia="宋体" w:cs="宋体"/>
          <w:b w:val="0"/>
          <w:color w:val="000000"/>
          <w:sz w:val="24"/>
        </w:rPr>
        <w:t>2.空间升级——完善服务偏好分析</w:t>
      </w:r>
    </w:p>
    <w:p w14:paraId="6C6243A2">
      <w:pPr>
        <w:pStyle w:val="5"/>
        <w:keepNext/>
        <w:keepLines/>
        <w:pageBreakBefore w:val="0"/>
        <w:numPr>
          <w:ilvl w:val="0"/>
          <w:numId w:val="0"/>
        </w:numPr>
        <w:spacing w:beforeLines="25" w:after="0" w:line="240" w:lineRule="auto"/>
        <w:ind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 w:val="0"/>
          <w:color w:val="000000"/>
          <w:sz w:val="24"/>
        </w:rPr>
        <w:t>（1）综合服务小程序——核心功能需求分析</w:t>
      </w:r>
    </w:p>
    <w:p w14:paraId="087DEE2C">
      <w:pPr>
        <w:keepNext/>
        <w:keepLines/>
        <w:numPr>
          <w:ilvl w:val="0"/>
          <w:numId w:val="0"/>
        </w:numPr>
        <w:jc w:val="center"/>
        <w:rPr>
          <w:rFonts w:hint="eastAsia" w:ascii="宋体" w:hAnsi="宋体" w:eastAsia="宋体" w:cs="宋体"/>
          <w:sz w:val="24"/>
          <w:szCs w:val="24"/>
        </w:rPr>
        <w:spacing w:line="240" w:lineRule="auto" w:beforeLines="0" w:after="0"/>
        <w:ind w:firstLineChars="0"/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788535" cy="2626995"/>
            <wp:effectExtent l="0" t="0" r="12065" b="9525"/>
            <wp:docPr id="894654881" name="图表 1" descr="7b0a202020202263686172745265734964223a20223230343736383334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21  综合服务点选址偏好图</w:t>
      </w:r>
    </w:p>
    <w:p w14:paraId="7AF62329">
      <w:pPr>
        <w:keepNext w:val="0"/>
        <w:keepLines w:val="0"/>
        <w:pageBreakBefore w:val="0"/>
        <w:numPr>
          <w:ilvl w:val="0"/>
          <w:numId w:val="0"/>
        </w:numPr>
        <w:ind w:firstLineChars="200"/>
        <w:jc w:val="both"/>
        <w:rPr>
          <w:rFonts w:hint="eastAsia" w:ascii="宋体" w:hAnsi="宋体" w:eastAsia="宋体" w:cs="宋体"/>
          <w:sz w:val="24"/>
          <w:szCs w:val="24"/>
        </w:rPr>
        <w:spacing w:line="300" w:lineRule="auto" w:beforeLines="50" w:after="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本轮记录覆盖27个服务节点、9类核心场景，阶段满意度约为90%，一般问题在8天内完成闭环。物资管理采用低库存、快补给原则。</w:t>
      </w:r>
    </w:p>
    <w:p w14:paraId="6B6F2A8E">
      <w:pPr>
        <w:keepNext w:val="0"/>
        <w:keepLines w:val="0"/>
        <w:pageBreakBefore w:val="0"/>
        <w:numPr>
          <w:ilvl w:val="0"/>
          <w:numId w:val="0"/>
        </w:numPr>
        <w:ind w:firstLineChars="200"/>
        <w:jc w:val="both"/>
        <w:rPr>
          <w:rFonts w:hint="eastAsia" w:ascii="宋体" w:hAnsi="宋体" w:eastAsia="宋体" w:cs="宋体"/>
          <w:sz w:val="24"/>
          <w:szCs w:val="24"/>
        </w:rPr>
        <w:spacing w:line="300" w:lineRule="auto" w:beforeLines="50" w:after="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本轮记录覆盖34个服务节点、2类核心场景，阶段满意度约为65%，一般问题在9天内完成闭环。</w:t>
      </w:r>
    </w:p>
    <w:p w14:paraId="2E8270DA">
      <w:pPr>
        <w:pStyle w:val="5"/>
        <w:keepNext/>
        <w:keepLines/>
        <w:pageBreakBefore w:val="0"/>
        <w:numPr>
          <w:ilvl w:val="0"/>
          <w:numId w:val="0"/>
        </w:numPr>
        <w:spacing w:beforeLines="25" w:after="0" w:line="240" w:lineRule="auto"/>
        <w:ind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 w:val="0"/>
          <w:color w:val="000000"/>
          <w:sz w:val="24"/>
        </w:rPr>
        <w:t>（2）社区共建——积分入口偏好分析</w:t>
      </w:r>
    </w:p>
    <w:p w14:paraId="567BA072">
      <w:pPr>
        <w:keepNext/>
        <w:keepLines/>
        <w:numPr>
          <w:ilvl w:val="0"/>
          <w:numId w:val="0"/>
        </w:numPr>
        <w:jc w:val="center"/>
        <w:rPr>
          <w:rFonts w:hint="eastAsia" w:ascii="宋体" w:hAnsi="宋体" w:eastAsia="宋体" w:cs="宋体"/>
          <w:sz w:val="24"/>
          <w:szCs w:val="24"/>
        </w:rPr>
        <w:spacing w:line="240" w:lineRule="auto" w:beforeLines="0" w:after="0"/>
        <w:ind w:firstLineChars="0"/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788535" cy="2626995"/>
            <wp:effectExtent l="0" t="0" r="12065" b="40005"/>
            <wp:docPr id="1124746036" name="图表 1" descr="7b0a202020202263686172745265734964223a20223530303539353639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22  社区共建积分入口偏好图</w:t>
      </w:r>
    </w:p>
    <w:p w14:paraId="69A12DDF">
      <w:pPr>
        <w:keepNext w:val="0"/>
        <w:keepLines w:val="0"/>
        <w:pageBreakBefore w:val="0"/>
        <w:numPr>
          <w:ilvl w:val="0"/>
          <w:numId w:val="0"/>
        </w:numPr>
        <w:ind w:firstLineChars="200"/>
        <w:jc w:val="both"/>
        <w:rPr>
          <w:rFonts w:hint="eastAsia" w:ascii="宋体" w:hAnsi="宋体" w:eastAsia="宋体" w:cs="宋体"/>
          <w:sz w:val="24"/>
          <w:szCs w:val="24"/>
        </w:rPr>
        <w:spacing w:line="300" w:lineRule="auto" w:beforeLines="50" w:after="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本轮记录覆盖41个服务节点、3类核心场景，阶段满意度约为68%，一般问题在10天内完成闭环。志愿者参与以轻任务为主，包括书架整理、活动引导、亲子阅读陪伴、旧书交换登记和社区故事收集。</w:t>
      </w:r>
    </w:p>
    <w:p w14:paraId="6AF2E456">
      <w:pPr>
        <w:keepNext w:val="0"/>
        <w:keepLines w:val="0"/>
        <w:pageBreakBefore w:val="0"/>
        <w:numPr>
          <w:ilvl w:val="0"/>
          <w:numId w:val="0"/>
        </w:numPr>
        <w:ind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  <w:spacing w:line="300" w:lineRule="auto" w:beforeLines="50" w:after="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本轮记录覆盖48个服务节点、4类核心场景，阶段满意度约为71%，一般问题在11天内完成闭环。数据采集坚持必要、适度、可解释的原则，不收集与阅读服务无关的个人信息。</w:t>
      </w:r>
    </w:p>
    <w:p w14:paraId="11D4260C">
      <w:pPr>
        <w:pStyle w:val="5"/>
        <w:keepNext/>
        <w:keepLines/>
        <w:pageBreakBefore w:val="0"/>
        <w:numPr>
          <w:ilvl w:val="0"/>
          <w:numId w:val="0"/>
        </w:numPr>
        <w:spacing w:beforeLines="25" w:after="0" w:line="240" w:lineRule="auto"/>
        <w:ind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 w:val="0"/>
          <w:color w:val="000000"/>
          <w:sz w:val="24"/>
        </w:rPr>
        <w:t>（3）社区共建——积分兑换福利偏好分析</w:t>
      </w:r>
    </w:p>
    <w:p w14:paraId="3619EDCB">
      <w:pPr>
        <w:keepNext/>
        <w:keepLines/>
        <w:numPr>
          <w:ilvl w:val="0"/>
          <w:numId w:val="0"/>
        </w:numPr>
        <w:jc w:val="center"/>
        <w:rPr>
          <w:rFonts w:hint="eastAsia" w:ascii="宋体" w:hAnsi="宋体" w:eastAsia="宋体" w:cs="宋体"/>
          <w:sz w:val="24"/>
          <w:szCs w:val="24"/>
        </w:rPr>
        <w:spacing w:line="240" w:lineRule="auto" w:beforeLines="0" w:after="0"/>
        <w:ind w:firstLineChars="0"/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5106035" cy="2606675"/>
            <wp:effectExtent l="0" t="0" r="14605" b="14605"/>
            <wp:docPr id="316916921" name="图表 1" descr="7b0a202020202263686172745265734964223a20223230343731383038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23  社区共建积分兑换福利偏好图</w:t>
      </w:r>
    </w:p>
    <w:p w14:paraId="601B54F1">
      <w:pPr>
        <w:keepNext w:val="0"/>
        <w:keepLines w:val="0"/>
        <w:pageBreakBefore w:val="0"/>
        <w:numPr>
          <w:ilvl w:val="0"/>
          <w:numId w:val="0"/>
        </w:numPr>
        <w:ind w:firstLineChars="200"/>
        <w:jc w:val="both"/>
        <w:rPr>
          <w:rFonts w:hint="eastAsia" w:ascii="宋体" w:hAnsi="宋体" w:eastAsia="宋体" w:cs="宋体"/>
          <w:sz w:val="24"/>
          <w:szCs w:val="24"/>
        </w:rPr>
        <w:spacing w:line="300" w:lineRule="auto" w:beforeLines="50" w:after="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55个服务节点、5类核心场景，阶段满意度约为74%，一般问题在12天内完成闭环。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</w:t>
      </w:r>
    </w:p>
    <w:p w14:paraId="6BB46D7C">
      <w:pPr>
        <w:keepNext w:val="0"/>
        <w:keepLines w:val="0"/>
        <w:pageBreakBefore w:val="0"/>
        <w:numPr>
          <w:ilvl w:val="0"/>
          <w:numId w:val="0"/>
        </w:numPr>
        <w:ind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  <w:spacing w:line="300" w:lineRule="auto" w:beforeLines="50" w:after="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62个服务节点、6类核心场景，阶段满意度约为77%，一般问题在13天内完成闭环。物资管理采用低库存、快补给原则。常用耗材按周盘点，活动材料按场次核销，设备维修按紧急程度分为即时处理、三日内处理和月度集中处理三类。这样既能减少浪费，也能避免因缺少小物件影响活动执行。</w:t>
      </w:r>
    </w:p>
    <w:p w14:paraId="71E65E62">
      <w:pPr>
        <w:pStyle w:val="2"/>
        <w:keepNext/>
        <w:keepLines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Lines="50" w:beforeAutospacing="0" w:line="240" w:lineRule="auto" w:after="0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ind w:firstLineChars="0"/>
      </w:pPr>
      <w:r>
        <w:rPr>
          <w:rFonts w:ascii="黑体" w:hAnsi="黑体" w:eastAsia="黑体" w:cs="黑体"/>
          <w:b/>
          <w:color w:val="000000"/>
          <w:sz w:val="30"/>
        </w:rPr>
        <w:t>四、运营模型与效益测算</w:t>
      </w:r>
    </w:p>
    <w:p w14:paraId="2AAD2A7C">
      <w:pPr>
        <w:keepNext/>
        <w:keepLines/>
        <w:numPr>
          <w:ilvl w:val="0"/>
          <w:numId w:val="0"/>
        </w:numPr>
        <w:jc w:val="center"/>
        <w:rPr>
          <w:rFonts w:hint="eastAsia" w:ascii="宋体" w:hAnsi="宋体" w:eastAsia="宋体" w:cs="宋体"/>
          <w:sz w:val="24"/>
          <w:szCs w:val="24"/>
        </w:rPr>
        <w:spacing w:line="240" w:lineRule="auto" w:beforeLines="0" w:after="0"/>
        <w:ind w:firstLineChars="0"/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788535" cy="2626995"/>
            <wp:effectExtent l="0" t="0" r="12065" b="40005"/>
            <wp:docPr id="2135519333" name="图表 1" descr="7b0a202020202263686172745265734964223a20223230343736393433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24  社区共建参与渠道偏好图</w:t>
      </w:r>
    </w:p>
    <w:p w14:paraId="3AE8EE3B">
      <w:pPr>
        <w:keepNext w:val="0"/>
        <w:keepLines w:val="0"/>
        <w:pageBreakBefore w:val="0"/>
        <w:numPr>
          <w:ilvl w:val="0"/>
          <w:numId w:val="0"/>
        </w:numPr>
        <w:ind w:firstLineChars="200"/>
        <w:jc w:val="both"/>
        <w:rPr>
          <w:rFonts w:hint="eastAsia" w:ascii="宋体" w:hAnsi="宋体" w:eastAsia="宋体" w:cs="宋体"/>
          <w:sz w:val="24"/>
          <w:szCs w:val="24"/>
        </w:rPr>
        <w:spacing w:line="300" w:lineRule="auto" w:beforeLines="50" w:after="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 本轮记录覆盖69个服务节点、7类核心场景，阶段满意度约为80%，一般问题在14天内完成闭环。</w:t>
      </w:r>
    </w:p>
    <w:p w14:paraId="572F7FEF">
      <w:pPr>
        <w:keepNext w:val="0"/>
        <w:keepLines w:val="0"/>
        <w:pageBreakBefore w:val="0"/>
        <w:numPr>
          <w:ilvl w:val="0"/>
          <w:numId w:val="0"/>
        </w:numPr>
        <w:ind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  <w:spacing w:line="300" w:lineRule="auto" w:beforeLines="50" w:after="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76个服务节点、8类核心场景，阶段满意度约为83%，一般问题在15天内完成闭环。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空间更新不追求一次性大改造，而采用轻量化迭代方式。</w:t>
      </w:r>
    </w:p>
    <w:p w14:paraId="7EACEB09">
      <w:pPr>
        <w:pStyle w:val="3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（一）运营模型介绍</w:t>
      </w:r>
    </w:p>
    <w:p w14:paraId="021E7604">
      <w:pPr>
        <w:keepNext w:val="0"/>
        <w:keepLines w:val="0"/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  <w:spacing w:line="240" w:lineRule="auto" w:beforeLines="0" w:after="0"/>
        <w:ind w:firstLineChars="0"/>
      </w:pPr>
    </w:p>
    <w:p w14:paraId="769A8E07">
      <w:pPr>
        <w:keepNext w:val="0"/>
        <w:keepLines w:val="0"/>
        <w:pageBreakBefore w:val="0"/>
        <w:numPr>
          <w:ilvl w:val="0"/>
          <w:numId w:val="0"/>
        </w:numPr>
        <w:ind w:firstLineChars="200"/>
        <w:jc w:val="both"/>
        <w:rPr>
          <w:rFonts w:hint="eastAsia" w:ascii="宋体" w:hAnsi="宋体" w:eastAsia="宋体" w:cs="宋体"/>
          <w:sz w:val="24"/>
          <w:szCs w:val="24"/>
        </w:rPr>
        <w:spacing w:line="300" w:lineRule="auto" w:beforeLines="50" w:after="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 本轮记录覆盖19个服务节点、9类核心场景，阶段满意度约为86%，一般问题在16天内完成闭环。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运营团队将每日开闭馆、借阅登记、场地巡检、活动签到、物资补充和意见反馈纳入同一张工作清单。</w:t>
      </w:r>
    </w:p>
    <w:p w14:paraId="6D9E9020">
      <w:pPr>
        <w:keepNext w:val="0"/>
        <w:keepLines w:val="0"/>
        <w:pageBreakBefore w:val="0"/>
        <w:numPr>
          <w:ilvl w:val="0"/>
          <w:numId w:val="0"/>
        </w:numPr>
        <w:ind w:firstLineChars="200"/>
        <w:jc w:val="both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spacing w:line="300" w:lineRule="auto" w:beforeLines="50" w:after="0"/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本轮记录覆盖26个服务节点、2类核心场景，阶段满意度约为89%，一般问题在17天内完成闭环。运营团队将每日开闭馆、借阅登记、场地巡检、活动签到、物资补充和意见反馈纳入同一张工作清单。</w:t>
      </w:r>
    </w:p>
    <w:p w14:paraId="13BCEE83">
      <w:pPr>
        <w:pStyle w:val="3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（二）关键变量确定</w:t>
      </w:r>
    </w:p>
    <w:p w14:paraId="42532EA8">
      <w:pPr>
        <w:pStyle w:val="4"/>
        <w:keepNext/>
        <w:keepLines/>
        <w:pageBreakBefore w:val="0"/>
        <w:numPr>
          <w:ilvl w:val="0"/>
          <w:numId w:val="0"/>
        </w:numPr>
        <w:ind w:firstLineChars="0"/>
        <w:jc w:val="left"/>
        <w:rPr>
          <w:rFonts w:hint="eastAsia" w:ascii="宋体" w:hAnsi="宋体" w:eastAsia="宋体" w:cs="宋体"/>
          <w:sz w:val="24"/>
          <w:szCs w:val="24"/>
        </w:rPr>
        <w:spacing w:line="240" w:lineRule="auto" w:beforeLines="25" w:after="0"/>
      </w:pPr>
      <w:r>
        <w:rPr>
          <w:rFonts w:ascii="宋体" w:hAnsi="宋体" w:eastAsia="宋体" w:cs="宋体"/>
          <w:b w:val="0"/>
          <w:color w:val="000000"/>
          <w:sz w:val="24"/>
        </w:rPr>
        <w:t>1.服务需求（N）</w:t>
      </w:r>
    </w:p>
    <w:p w14:paraId="0583C2DA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调研记录显示，读者更关注安静座位、灯光舒适度、图书更新速度、活动预约便利性以及儿童阅读区的安全性。</w:t>
      </w:r>
    </w:p>
    <w:p w14:paraId="7894EF5E">
      <w:pPr>
        <w:pStyle w:val="4"/>
        <w:keepNext/>
        <w:keepLines/>
        <w:pageBreakBefore w:val="0"/>
        <w:widowControl w:val="0"/>
        <w:suppressLineNumbers w:val="0"/>
        <w:spacing w:beforeLines="25" w:beforeAutospacing="0" w:after="0" w:afterAutospacing="1" w:line="240" w:lineRule="auto"/>
        <w:ind w:left="0" w:right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2.空间服务供给（S）</w:t>
      </w:r>
    </w:p>
    <w:p w14:paraId="10C22533">
      <w:pPr>
        <w:keepNext w:val="0"/>
        <w:keepLines w:val="0"/>
        <w:pageBreakBefore w:val="0"/>
        <w:numPr>
          <w:ilvl w:val="0"/>
          <w:numId w:val="0"/>
        </w:numPr>
        <w:ind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  <w:spacing w:line="300" w:lineRule="auto" w:beforeLines="50" w:after="0"/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空间更新不追求一次性大改造，而采用轻量化迭代方式。</w:t>
      </w:r>
    </w:p>
    <w:p w14:paraId="6A587B96">
      <w:pPr>
        <w:pStyle w:val="4"/>
        <w:keepNext/>
        <w:keepLines/>
        <w:pageBreakBefore w:val="0"/>
        <w:widowControl w:val="0"/>
        <w:suppressLineNumbers w:val="0"/>
        <w:spacing w:beforeLines="25" w:beforeAutospacing="0" w:after="0" w:afterAutospacing="1" w:line="240" w:lineRule="auto"/>
        <w:ind w:left="0" w:right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3.阅读体验改善（O）</w:t>
      </w:r>
    </w:p>
    <w:p w14:paraId="5EAFFBE7">
      <w:pPr>
        <w:keepNext w:val="0"/>
        <w:keepLines w:val="0"/>
        <w:pageBreakBefore w:val="0"/>
        <w:numPr>
          <w:ilvl w:val="0"/>
          <w:numId w:val="0"/>
        </w:numPr>
        <w:ind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  <w:spacing w:line="300" w:lineRule="auto" w:beforeLines="50" w:after="0"/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运营团队将每日开闭馆、借阅登记、场地巡检、活动签到、物资补充和意见反馈纳入同一张工作清单。</w:t>
      </w:r>
    </w:p>
    <w:p w14:paraId="6EBE4130">
      <w:pPr>
        <w:pStyle w:val="4"/>
        <w:keepNext/>
        <w:keepLines/>
        <w:pageBreakBefore w:val="0"/>
        <w:widowControl w:val="0"/>
        <w:suppressLineNumbers w:val="0"/>
        <w:spacing w:beforeLines="25" w:beforeAutospacing="0" w:after="0" w:afterAutospacing="1" w:line="240" w:lineRule="auto"/>
        <w:ind w:left="0" w:right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4.社区共建参与（R）</w:t>
      </w:r>
    </w:p>
    <w:p w14:paraId="7B1A64C9">
      <w:pPr>
        <w:keepNext w:val="0"/>
        <w:keepLines w:val="0"/>
        <w:pageBreakBefore w:val="0"/>
        <w:numPr>
          <w:ilvl w:val="0"/>
          <w:numId w:val="0"/>
        </w:numPr>
        <w:ind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  <w:spacing w:line="300" w:lineRule="auto" w:beforeLines="50" w:after="0"/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</w:t>
      </w:r>
    </w:p>
    <w:p w14:paraId="45993D22">
      <w:pPr>
        <w:pStyle w:val="3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（三）工作假设</w:t>
      </w:r>
    </w:p>
    <w:p w14:paraId="27BDB70F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</w:t>
      </w:r>
    </w:p>
    <w:p w14:paraId="61DD2118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本轮记录覆盖68个服务节点、8类核心场景，阶段满意度约为79%，一般问题在12天内完成闭环。物资管理采用低库存、快补给原则。</w:t>
      </w:r>
    </w:p>
    <w:p w14:paraId="61350960">
      <w:pPr>
        <w:pStyle w:val="3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（四）模型建立</w:t>
      </w:r>
    </w:p>
    <w:p w14:paraId="487892A0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4  运营模型服务动作说明表</w:t>
      </w:r>
    </w:p>
    <w:tbl>
      <w:tblPr>
        <w:tblStyle w:val="15"/>
        <w:tblW w:w="5000" w:type="pct"/>
        <w:jc w:val="center"/>
        <w:tblBorders>
          <w:top w:val="none" w:color="auto" w:sz="6" w:space="0"/>
          <w:left w:val="none" w:color="auto" w:sz="6" w:space="0"/>
          <w:bottom w:val="single" w:color="auto" w:sz="12" w:space="0"/>
          <w:right w:val="none" w:color="auto" w:sz="6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7100"/>
      </w:tblGrid>
      <w:tr w14:paraId="0FF6E778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834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4D718B6F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4165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7B359C1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运营说明</w:t>
            </w:r>
          </w:p>
        </w:tc>
      </w:tr>
      <w:tr w14:paraId="353DA0D4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2203A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数字借阅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137A7A3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栖岸书廊设置3项服务动作，包含书架整理、活动签到、灯光检查和读者反馈登记，按周复盘。</w:t>
            </w:r>
          </w:p>
        </w:tc>
      </w:tr>
      <w:tr w14:paraId="2DF85E88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BDC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社区讲读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FFEA7ED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花径活动室设置4项服务动作，包含书架整理、活动签到、灯光检查和读者反馈登记，按周复盘。</w:t>
            </w:r>
          </w:p>
        </w:tc>
      </w:tr>
      <w:tr w14:paraId="60612351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941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安静办公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8A9CB73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海风书房设置5项服务动作，包含书架整理、活动签到、灯光检查和读者反馈登记，按周复盘。</w:t>
            </w:r>
          </w:p>
        </w:tc>
      </w:tr>
      <w:tr w14:paraId="6E88D1DC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8F4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周末沙龙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D98E5F1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松石书屋设置6项服务动作，包含书架整理、活动签到、灯光检查和读者反馈登记，按周复盘。</w:t>
            </w:r>
          </w:p>
        </w:tc>
      </w:tr>
      <w:tr w14:paraId="602BD894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E854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晨间自习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90B29F4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云汀阅读角设置2项服务动作，包含书架整理、活动签到、灯光检查和读者反馈登记，按周复盘。</w:t>
            </w:r>
          </w:p>
        </w:tc>
      </w:tr>
      <w:tr w14:paraId="42352DAA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1EC0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亲子共读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51451CB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蓝湾文化站设置3项服务动作，包含书架整理、活动签到、灯光检查和读者反馈登记，按周复盘。</w:t>
            </w:r>
          </w:p>
        </w:tc>
      </w:tr>
      <w:tr w14:paraId="402517AA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9BC5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旧书交换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150D86F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银杏书舍设置4项服务动作，包含书架整理、活动签到、灯光检查和读者反馈登记，按周复盘。</w:t>
            </w:r>
          </w:p>
        </w:tc>
      </w:tr>
      <w:tr w14:paraId="09CF9432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C79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主题书展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DA88F81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灯塔共享厅设置5项服务动作，包含书架整理、活动签到、灯光检查和读者反馈登记，按周复盘。</w:t>
            </w:r>
          </w:p>
        </w:tc>
      </w:tr>
      <w:tr w14:paraId="1CE0A2E7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8D9F6F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夜间阅览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2C49893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栖岸书廊设置6项服务动作，包含书架整理、活动签到、灯光检查和读者反馈登记，按周复盘。</w:t>
            </w:r>
          </w:p>
        </w:tc>
      </w:tr>
      <w:tr w14:paraId="6911BB4D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0EEE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手作课堂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1D9FD6C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花径活动室设置2项服务动作，包含书架整理、活动签到、灯光检查和读者反馈登记，按周复盘。</w:t>
            </w:r>
          </w:p>
        </w:tc>
      </w:tr>
      <w:tr w14:paraId="373A86AD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1EFF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数字借阅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9C5BF12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海风书房设置3项服务动作，包含书架整理、活动签到、灯光检查和读者反馈登记，按周复盘。</w:t>
            </w:r>
          </w:p>
        </w:tc>
      </w:tr>
      <w:tr w14:paraId="3DC032E4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0DF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社区讲读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781524E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松石书屋设置4项服务动作，包含书架整理、活动签到、灯光检查和读者反馈登记，按周复盘。</w:t>
            </w:r>
          </w:p>
        </w:tc>
      </w:tr>
      <w:tr w14:paraId="30BF3CF9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809F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安静办公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0F66B80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云汀阅读角设置5项服务动作，包含书架整理、活动签到、灯光检查和读者反馈登记，按周复盘。</w:t>
            </w:r>
          </w:p>
        </w:tc>
      </w:tr>
      <w:tr w14:paraId="49237CF9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13E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周末沙龙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A21DE3D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蓝湾文化站设置6项服务动作，包含书架整理、活动签到、灯光检查和读者反馈登记，按周复盘。</w:t>
            </w:r>
          </w:p>
        </w:tc>
      </w:tr>
      <w:tr w14:paraId="5CBC5930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389A2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晨间自习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28001C5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银杏书舍设置2项服务动作，包含书架整理、活动签到、灯光检查和读者反馈登记，按周复盘。</w:t>
            </w:r>
          </w:p>
        </w:tc>
      </w:tr>
      <w:tr w14:paraId="1ECBA831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CEBD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亲子共读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5116FA1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灯塔共享厅设置3项服务动作，包含书架整理、活动签到、灯光检查和读者反馈登记，按周复盘。</w:t>
            </w:r>
          </w:p>
        </w:tc>
      </w:tr>
      <w:tr w14:paraId="2436E46C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065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旧书交换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0D21EF6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栖岸书廊设置4项服务动作，包含书架整理、活动签到、灯光检查和读者反馈登记，按周复盘。</w:t>
            </w:r>
          </w:p>
        </w:tc>
      </w:tr>
      <w:tr w14:paraId="35F7DD66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57D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主题书展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E417D8C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花径活动室设置5项服务动作，包含书架整理、活动签到、灯光检查和读者反馈登记，按周复盘。</w:t>
            </w:r>
          </w:p>
        </w:tc>
      </w:tr>
      <w:tr w14:paraId="3AB9EB97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6F9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夜间阅览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367693C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海风书房设置6项服务动作，包含书架整理、活动签到、灯光检查和读者反馈登记，按周复盘。</w:t>
            </w:r>
          </w:p>
        </w:tc>
      </w:tr>
      <w:tr w14:paraId="30C62EFE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CD4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手作课堂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379CEAA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松石书屋设置2项服务动作，包含书架整理、活动签到、灯光检查和读者反馈登记，按周复盘。</w:t>
            </w:r>
          </w:p>
        </w:tc>
      </w:tr>
      <w:tr w14:paraId="4CB41E0B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E022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数字借阅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D7C1163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云汀阅读角设置3项服务动作，包含书架整理、活动签到、灯光检查和读者反馈登记，按周复盘。</w:t>
            </w:r>
          </w:p>
        </w:tc>
      </w:tr>
      <w:tr w14:paraId="3B9CBC89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A42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社区讲读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C1672D5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蓝湾文化站设置4项服务动作，包含书架整理、活动签到、灯光检查和读者反馈登记，按周复盘。</w:t>
            </w:r>
          </w:p>
        </w:tc>
      </w:tr>
      <w:tr w14:paraId="0A30E8EF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72EC7F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安静办公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727CE25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银杏书舍设置5项服务动作，包含书架整理、活动签到、灯光检查和读者反馈登记，按周复盘。</w:t>
            </w:r>
          </w:p>
        </w:tc>
      </w:tr>
      <w:tr w14:paraId="3ED35AED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32B3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周末沙龙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65B2028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灯塔共享厅设置6项服务动作，包含书架整理、活动签到、灯光检查和读者反馈登记，按周复盘。</w:t>
            </w:r>
          </w:p>
        </w:tc>
      </w:tr>
      <w:tr w14:paraId="18BFF0A0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01C6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晨间自习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BA6A4C8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栖岸书廊设置2项服务动作，包含书架整理、活动签到、灯光检查和读者反馈登记，按周复盘。</w:t>
            </w:r>
          </w:p>
        </w:tc>
      </w:tr>
      <w:tr w14:paraId="24017C70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0A1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亲子共读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9D87921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花径活动室设置3项服务动作，包含书架整理、活动签到、灯光检查和读者反馈登记，按周复盘。</w:t>
            </w:r>
          </w:p>
        </w:tc>
      </w:tr>
      <w:tr w14:paraId="79CC87C2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89B3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旧书交换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8FCC3B4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海风书房设置4项服务动作，包含书架整理、活动签到、灯光检查和读者反馈登记，按周复盘。</w:t>
            </w:r>
          </w:p>
        </w:tc>
      </w:tr>
      <w:tr w14:paraId="0A576E9A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7B1B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主题书展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BF0748A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松石书屋设置5项服务动作，包含书架整理、活动签到、灯光检查和读者反馈登记，按周复盘。</w:t>
            </w:r>
          </w:p>
        </w:tc>
      </w:tr>
    </w:tbl>
    <w:p w14:paraId="3C4EEE63">
      <w:pPr>
        <w:pStyle w:val="3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（五）模型校准</w:t>
      </w:r>
    </w:p>
    <w:p w14:paraId="441D3FC9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志愿者参与以轻任务为主，包括书架整理、活动引导、亲子阅读陪伴、旧书交换登记和社区故事收集。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5  模型校准服务动作说明表</w:t>
      </w:r>
    </w:p>
    <w:tbl>
      <w:tblPr>
        <w:tblStyle w:val="15"/>
        <w:tblW w:w="5000" w:type="pct"/>
        <w:jc w:val="center"/>
        <w:tblBorders>
          <w:top w:val="none" w:color="auto" w:sz="6" w:space="0"/>
          <w:left w:val="none" w:color="auto" w:sz="6" w:space="0"/>
          <w:bottom w:val="single" w:color="auto" w:sz="12" w:space="0"/>
          <w:right w:val="none" w:color="auto" w:sz="6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6"/>
        <w:gridCol w:w="6236"/>
      </w:tblGrid>
      <w:tr w14:paraId="5FDCFAA7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1341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6BA0877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3659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486E422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运营说明</w:t>
            </w:r>
          </w:p>
        </w:tc>
      </w:tr>
      <w:tr w14:paraId="2024CA5B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67A40E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社区讲读</w:t>
            </w:r>
          </w:p>
        </w:tc>
        <w:tc>
          <w:tcPr>
            <w:tcW w:w="3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8A777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contextualSpacing w:val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花径活动室设置3项服务动作，包含书架整理、活动签到、灯光检查和读者反馈登记，按周复盘。</w:t>
            </w:r>
          </w:p>
        </w:tc>
      </w:tr>
      <w:tr w14:paraId="0E578930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A46F27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安静办公</w:t>
            </w:r>
          </w:p>
        </w:tc>
        <w:tc>
          <w:tcPr>
            <w:tcW w:w="3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90DDBF0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海风书房设置4项服务动作，包含书架整理、活动签到、灯光检查和读者反馈登记，按周复盘。</w:t>
            </w:r>
          </w:p>
        </w:tc>
      </w:tr>
      <w:tr w14:paraId="06925DED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2DAB8E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周末沙龙</w:t>
            </w:r>
          </w:p>
        </w:tc>
        <w:tc>
          <w:tcPr>
            <w:tcW w:w="3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98A04C5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松石书屋设置5项服务动作，包含书架整理、活动签到、灯光检查和读者反馈登记，按周复盘。</w:t>
            </w:r>
          </w:p>
        </w:tc>
      </w:tr>
      <w:tr w14:paraId="1C3296ED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41" w:type="pct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EB8481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晨间自习</w:t>
            </w:r>
          </w:p>
        </w:tc>
        <w:tc>
          <w:tcPr>
            <w:tcW w:w="3659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9AB7001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云汀阅读角设置6项服务动作，包含书架整理、活动签到、灯光检查和读者反馈登记，按周复盘。</w:t>
            </w:r>
          </w:p>
        </w:tc>
      </w:tr>
    </w:tbl>
    <w:p w14:paraId="0E3BFA8C">
      <w:pPr>
        <w:keepNext w:val="0"/>
        <w:keepLines w:val="0"/>
        <w:widowControl w:val="0"/>
        <w:suppressLineNumbers w:val="0"/>
        <w:spacing w:beforeLines="0" w:beforeAutospacing="0" w:after="0" w:afterAutospacing="1" w:line="240" w:lineRule="auto"/>
        <w:ind w:left="0" w:right="0" w:firstLineChars="0"/>
        <w:jc w:val="left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23C0A590">
      <w:pPr>
        <w:pStyle w:val="3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（六）进一步分析——不同到访频次的机制差异</w:t>
      </w:r>
    </w:p>
    <w:p w14:paraId="3944BEE7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预算安排以运营稳定为先，优先保障人员值守、基础维护、图书更新、数字系统和安全巡检。</w:t>
      </w:r>
    </w:p>
    <w:p w14:paraId="4C372878">
      <w:pPr>
        <w:pStyle w:val="8"/>
        <w:keepNext/>
        <w:keepLines/>
        <w:widowControl w:val="0"/>
        <w:suppressLineNumbers w:val="0"/>
        <w:spacing w:beforeLines="0" w:beforeAutospacing="0" w:after="0" w:afterAutospacing="1" w:line="240" w:lineRule="auto"/>
        <w:ind w:right="0" w:firstLineChars="0"/>
        <w:contextualSpacing/>
        <w:jc w:val="center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329555" cy="3867150"/>
            <wp:effectExtent l="0" t="0" r="4445" b="3810"/>
            <wp:docPr id="2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25  阅读服务看板</w:t>
      </w:r>
    </w:p>
    <w:p w14:paraId="7CA63106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本方案围绕公共书房的连续开放、活动排期、读者服务和空间维护展开，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6  运营模型拟合指标表</w:t>
      </w:r>
    </w:p>
    <w:tbl>
      <w:tblPr>
        <w:tblStyle w:val="15"/>
        <w:tblW w:w="5000" w:type="pct"/>
        <w:jc w:val="center"/>
        <w:tblBorders>
          <w:top w:val="none" w:color="auto" w:sz="6" w:space="0"/>
          <w:left w:val="none" w:color="auto" w:sz="6" w:space="0"/>
          <w:bottom w:val="single" w:color="auto" w:sz="12" w:space="0"/>
          <w:right w:val="none" w:color="auto" w:sz="6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063"/>
        <w:gridCol w:w="816"/>
        <w:gridCol w:w="816"/>
        <w:gridCol w:w="821"/>
        <w:gridCol w:w="816"/>
        <w:gridCol w:w="816"/>
        <w:gridCol w:w="816"/>
        <w:gridCol w:w="817"/>
        <w:gridCol w:w="817"/>
      </w:tblGrid>
      <w:tr w14:paraId="5659C0B7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805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03B6B996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拟合指标</w:t>
            </w:r>
          </w:p>
        </w:tc>
        <w:tc>
          <w:tcPr>
            <w:tcW w:w="636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191A193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CMIN/DF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B9448AE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GFI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C338AA8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AGFI</w:t>
            </w:r>
          </w:p>
        </w:tc>
        <w:tc>
          <w:tcPr>
            <w:tcW w:w="521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1381887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RMSEA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CFFC089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RMR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DEB2E78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CFI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A4B1FDA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NFI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E97CC08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TLI</w:t>
            </w:r>
          </w:p>
        </w:tc>
        <w:tc>
          <w:tcPr>
            <w:tcW w:w="491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07CBF21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IFI</w:t>
            </w:r>
          </w:p>
        </w:tc>
      </w:tr>
      <w:tr w14:paraId="2767D06F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0BDDDB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建议范围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C9A15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&lt;3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E61174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180A43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&gt;0.85</w:t>
            </w:r>
          </w:p>
        </w:tc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0244D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&lt;0.08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1F9F68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&lt;0.05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068693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B95D41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CC66F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4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0621C53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</w:tr>
      <w:tr w14:paraId="0A790EDE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05" w:type="pct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714A644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活动到场率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90B28F2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0.866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07ABF0A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0.680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42B30D9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0.724</w:t>
            </w:r>
          </w:p>
        </w:tc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D21329B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0.910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2338DE3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0.715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3D455E2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0.880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598A3E1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0.746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F10BCAB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0.787</w:t>
            </w:r>
          </w:p>
        </w:tc>
        <w:tc>
          <w:tcPr>
            <w:tcW w:w="49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F377F8E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0.737</w:t>
            </w:r>
          </w:p>
        </w:tc>
      </w:tr>
    </w:tbl>
    <w:p w14:paraId="5D28164F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</w:t>
      </w:r>
    </w:p>
    <w:p w14:paraId="67313B49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空间更新不追求一次性大改造，而采用轻量化迭代方式。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7  活动资源配置对照表</w:t>
      </w:r>
    </w:p>
    <w:tbl>
      <w:tblPr>
        <w:tblStyle w:val="15"/>
        <w:tblW w:w="0" w:type="auto"/>
        <w:jc w:val="center"/>
        <w:tblBorders>
          <w:top w:val="none" w:color="auto" w:sz="6" w:space="0"/>
          <w:left w:val="none" w:color="auto" w:sz="6" w:space="0"/>
          <w:bottom w:val="single" w:color="auto" w:sz="12" w:space="0"/>
          <w:right w:val="none" w:color="auto" w:sz="6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"/>
        <w:gridCol w:w="879"/>
        <w:gridCol w:w="1536"/>
        <w:gridCol w:w="876"/>
        <w:gridCol w:w="2166"/>
        <w:gridCol w:w="2516"/>
      </w:tblGrid>
      <w:tr w14:paraId="6EDBC199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1D39668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b/>
                <w:color w:val="000000"/>
                <w:sz w:val="24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6126B7A">
            <w:pPr>
              <w:keepNext/>
              <w:keepLines/>
              <w:widowControl w:val="0"/>
              <w:suppressLineNumbers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服务模块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E340DDD">
            <w:pPr>
              <w:keepNext/>
              <w:keepLines/>
              <w:widowControl w:val="0"/>
              <w:suppressLineNumbers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时段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C55D1D4">
            <w:pPr>
              <w:keepNext/>
              <w:keepLines/>
              <w:widowControl w:val="0"/>
              <w:suppressLineNumbers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负责人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0F5C6E3E">
            <w:pPr>
              <w:keepNext/>
              <w:keepLines/>
              <w:widowControl w:val="0"/>
              <w:suppressLineNumbers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资源配置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02A6DF9">
            <w:pPr>
              <w:pStyle w:val="8"/>
              <w:keepNext/>
              <w:keepLines/>
              <w:widowControl w:val="0"/>
              <w:suppressLineNumbers w:val="0"/>
              <w:spacing w:beforeLines="0" w:beforeAutospacing="0" w:after="0" w:afterAutospacing="1" w:line="240" w:lineRule="auto"/>
              <w:ind w:left="0" w:right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验收口径</w:t>
            </w:r>
          </w:p>
        </w:tc>
      </w:tr>
      <w:tr w14:paraId="0F933210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0A88AF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B7F8E6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周末沙龙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E999E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9:00-12:30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19D44F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馆员E组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63164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书册92册；活动材料9套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10212ED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现场签到、巡检记录、满意度回收</w:t>
            </w:r>
          </w:p>
        </w:tc>
      </w:tr>
      <w:tr w14:paraId="24DB5BDE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9379F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D99301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晨间自习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5EBDE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10:00-13:30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2240D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馆员F组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0E11B8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书册104册；活动材料10套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86CDE41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现场签到、巡检记录、满意度回收</w:t>
            </w:r>
          </w:p>
        </w:tc>
      </w:tr>
      <w:tr w14:paraId="429159D8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C38E66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CC74A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亲子共读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73A29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11:00-14:30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E0E0E5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馆员A组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15031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书册116册；活动材料11套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44BF213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现场签到、巡检记录、满意度回收</w:t>
            </w:r>
          </w:p>
        </w:tc>
      </w:tr>
      <w:tr w14:paraId="7F84EB70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BB05076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67FC1CE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旧书交换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CEB0957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12:00-15:30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9454CD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馆员B组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4ABD376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书册128册；活动材料12套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334583C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现场签到、巡检记录、满意度回收</w:t>
            </w:r>
          </w:p>
        </w:tc>
      </w:tr>
    </w:tbl>
    <w:p w14:paraId="7CC82808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本轮记录覆盖53个服务节点、7类核心场景，阶段满意度约为72%，一般问题在8天内完成闭环。</w:t>
      </w:r>
    </w:p>
    <w:p w14:paraId="454D015C">
      <w:pPr>
        <w:pStyle w:val="3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（七）模型结论</w:t>
      </w:r>
    </w:p>
    <w:p w14:paraId="251CDAEE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</w:t>
      </w:r>
    </w:p>
    <w:p w14:paraId="473CECFE">
      <w:pPr>
        <w:pStyle w:val="8"/>
        <w:keepNext/>
        <w:keepLines/>
        <w:widowControl w:val="0"/>
        <w:suppressLineNumbers w:val="0"/>
        <w:spacing w:beforeLines="0" w:beforeAutospacing="0" w:after="0" w:afterAutospacing="1" w:line="240" w:lineRule="auto"/>
        <w:ind w:right="0" w:firstLineChars="0"/>
        <w:contextualSpacing/>
        <w:jc w:val="center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4933950" cy="3495675"/>
            <wp:effectExtent l="0" t="0" r="3810" b="9525"/>
            <wp:docPr id="2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 descr="IMG_25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26  公共书房客流趋势图</w:t>
      </w:r>
    </w:p>
    <w:p w14:paraId="51F02CEF">
      <w:pPr>
        <w:pStyle w:val="8"/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442" w:right="0" w:firstLineChars="200"/>
        <w:contextualSpacing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为提升服务的真实可达性，方案建议在社区公告栏、学校门口、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8  模型结论拟合指标表</w:t>
      </w:r>
    </w:p>
    <w:tbl>
      <w:tblPr>
        <w:tblStyle w:val="15"/>
        <w:tblW w:w="5000" w:type="pct"/>
        <w:jc w:val="center"/>
        <w:tblBorders>
          <w:top w:val="none" w:color="auto" w:sz="6" w:space="0"/>
          <w:left w:val="none" w:color="auto" w:sz="6" w:space="0"/>
          <w:bottom w:val="single" w:color="auto" w:sz="12" w:space="0"/>
          <w:right w:val="none" w:color="auto" w:sz="6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063"/>
        <w:gridCol w:w="816"/>
        <w:gridCol w:w="816"/>
        <w:gridCol w:w="821"/>
        <w:gridCol w:w="816"/>
        <w:gridCol w:w="816"/>
        <w:gridCol w:w="816"/>
        <w:gridCol w:w="817"/>
        <w:gridCol w:w="817"/>
      </w:tblGrid>
      <w:tr w14:paraId="627DEDAB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805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6C9DAC0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拟合指标</w:t>
            </w:r>
          </w:p>
        </w:tc>
        <w:tc>
          <w:tcPr>
            <w:tcW w:w="636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E1F3FC2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CMIN/DF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7713717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GFI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C5DDA82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AGFI</w:t>
            </w:r>
          </w:p>
        </w:tc>
        <w:tc>
          <w:tcPr>
            <w:tcW w:w="521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34470A9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RMSEA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63B22D1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RMR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40A354B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CFI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0F7294C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NFI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B404DFD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TLI</w:t>
            </w:r>
          </w:p>
        </w:tc>
        <w:tc>
          <w:tcPr>
            <w:tcW w:w="491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8FF486B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IFI</w:t>
            </w:r>
          </w:p>
        </w:tc>
      </w:tr>
      <w:tr w14:paraId="633DE76E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36AAB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建议范围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59AB3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&lt;3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C2AEA9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55084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&gt;0.85</w:t>
            </w:r>
          </w:p>
        </w:tc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B7518F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&lt;0.08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F5664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&lt;0.05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77EFB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5E884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6585FE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4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3242FD9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</w:tr>
      <w:tr w14:paraId="0117B592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05" w:type="pct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6FC3C3D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B6E35CB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0.653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A7AE2D3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0.808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DE01F3E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0.965</w:t>
            </w:r>
          </w:p>
        </w:tc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C5644CB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0.893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7A28476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0.777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6AB87B2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0.689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616B944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0.811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4B1841C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0.659</w:t>
            </w:r>
          </w:p>
        </w:tc>
        <w:tc>
          <w:tcPr>
            <w:tcW w:w="49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F916995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0.955</w:t>
            </w:r>
          </w:p>
        </w:tc>
      </w:tr>
    </w:tbl>
    <w:p w14:paraId="15FA2486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</w:t>
      </w:r>
    </w:p>
    <w:p w14:paraId="6B1C1490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</w:t>
      </w:r>
    </w:p>
    <w:p w14:paraId="36C01FBF">
      <w:pPr>
        <w:pStyle w:val="2"/>
        <w:keepNext/>
        <w:keepLines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Lines="50" w:beforeAutospacing="0" w:line="240" w:lineRule="auto" w:after="0"/>
        <w:jc w:val="left"/>
        <w:textAlignment w:val="auto"/>
        <w:rPr>
          <w:rFonts w:hint="default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ind w:firstLineChars="0"/>
      </w:pPr>
      <w:r>
        <w:rPr>
          <w:rFonts w:ascii="黑体" w:hAnsi="黑体" w:eastAsia="黑体" w:cs="黑体"/>
          <w:b/>
          <w:color w:val="000000"/>
          <w:sz w:val="30"/>
        </w:rPr>
        <w:t>五、各方面影响分析</w:t>
      </w:r>
    </w:p>
    <w:p w14:paraId="0A27A2BE">
      <w:pPr>
        <w:pStyle w:val="3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（一）服务需求对空间服务供给的影响</w:t>
      </w:r>
    </w:p>
    <w:p w14:paraId="39BB9DCD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24个服务节点、4类核心场景，阶段满意度约为87%，一般问题在13天内完成闭环。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</w:t>
      </w:r>
    </w:p>
    <w:p w14:paraId="45426153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预算安排以运营稳定为先，优先保障人员值守、基础维护、图书更新、数字系统和安全巡检。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9  服务需求与空间供给执行表</w:t>
      </w:r>
    </w:p>
    <w:tbl>
      <w:tblPr>
        <w:tblStyle w:val="15"/>
        <w:tblW w:w="5000" w:type="pct"/>
        <w:jc w:val="center"/>
        <w:tblBorders>
          <w:top w:val="none" w:color="auto" w:sz="6" w:space="0"/>
          <w:left w:val="none" w:color="auto" w:sz="6" w:space="0"/>
          <w:bottom w:val="single" w:color="auto" w:sz="12" w:space="0"/>
          <w:right w:val="none" w:color="auto" w:sz="6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6"/>
        <w:gridCol w:w="2152"/>
        <w:gridCol w:w="3824"/>
      </w:tblGrid>
      <w:tr w14:paraId="6AAE1274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1493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B364AB3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1262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39A9462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点位/指标</w:t>
            </w:r>
          </w:p>
        </w:tc>
        <w:tc>
          <w:tcPr>
            <w:tcW w:w="2243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478FD804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执行要点</w:t>
            </w:r>
          </w:p>
        </w:tc>
      </w:tr>
      <w:tr w14:paraId="272D8481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8709E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蓝湾文化站</w:t>
            </w:r>
          </w:p>
        </w:tc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EDBA6C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旧书交换</w:t>
            </w:r>
          </w:p>
        </w:tc>
        <w:tc>
          <w:tcPr>
            <w:tcW w:w="22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81ACDB8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配置21个座位，月均活动5场，问题闭环率84%。</w:t>
            </w:r>
          </w:p>
        </w:tc>
      </w:tr>
      <w:tr w14:paraId="2712CDBB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8D01CA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银杏书舍</w:t>
            </w:r>
          </w:p>
        </w:tc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A1DD75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主题书展</w:t>
            </w:r>
          </w:p>
        </w:tc>
        <w:tc>
          <w:tcPr>
            <w:tcW w:w="22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722E586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配置24个座位，月均活动6场，问题闭环率86%。</w:t>
            </w:r>
          </w:p>
        </w:tc>
      </w:tr>
      <w:tr w14:paraId="43A04AA1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5CEA9F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灯塔共享厅</w:t>
            </w:r>
          </w:p>
        </w:tc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AAC864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夜间阅览</w:t>
            </w:r>
          </w:p>
        </w:tc>
        <w:tc>
          <w:tcPr>
            <w:tcW w:w="22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C2ECA13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配置27个座位，月均活动7场，问题闭环率88%。</w:t>
            </w:r>
          </w:p>
        </w:tc>
      </w:tr>
      <w:tr w14:paraId="28E17CC3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1CBCF9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栖岸书廊</w:t>
            </w:r>
          </w:p>
        </w:tc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C16963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手作课堂</w:t>
            </w:r>
          </w:p>
        </w:tc>
        <w:tc>
          <w:tcPr>
            <w:tcW w:w="22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6FD77A0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配置30个座位，月均活动8场，问题闭环率90%。</w:t>
            </w:r>
          </w:p>
        </w:tc>
      </w:tr>
      <w:tr w14:paraId="6C9C9006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5EE676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花径活动室</w:t>
            </w:r>
          </w:p>
        </w:tc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07099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数字借阅</w:t>
            </w:r>
          </w:p>
        </w:tc>
        <w:tc>
          <w:tcPr>
            <w:tcW w:w="22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658A6DE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配置33个座位，月均活动9场，问题闭环率92%。</w:t>
            </w:r>
          </w:p>
        </w:tc>
      </w:tr>
      <w:tr w14:paraId="16E8B7A3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005F8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海风书房</w:t>
            </w:r>
          </w:p>
        </w:tc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FD916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社区讲读</w:t>
            </w:r>
          </w:p>
        </w:tc>
        <w:tc>
          <w:tcPr>
            <w:tcW w:w="22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FE46B66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配置36个座位，月均活动4场，问题闭环率94%。</w:t>
            </w:r>
          </w:p>
        </w:tc>
      </w:tr>
      <w:tr w14:paraId="358D6451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93" w:type="pct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130B6EA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松石书屋</w:t>
            </w:r>
          </w:p>
        </w:tc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ED8B89D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安静办公</w:t>
            </w:r>
          </w:p>
        </w:tc>
        <w:tc>
          <w:tcPr>
            <w:tcW w:w="224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24497FA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right="0" w:firstLine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配置39个座位，月均活动5场，问题闭环率96%。</w:t>
            </w:r>
          </w:p>
        </w:tc>
      </w:tr>
    </w:tbl>
    <w:p w14:paraId="07177CE1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本方案围绕公共书房的连续开放、活动排期、读者服务和空间维护展开，重点解决小型文化空间在日常管理中常见的排班不均、设备闲置、活动重复和服务反馈滞后等问题。</w:t>
      </w:r>
    </w:p>
    <w:p w14:paraId="7C86BDD8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45个服务节点、7类核心场景，阶段满意度约为68%，一般问题在16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活动设计应避免单纯追求数量，重点关注读者是否愿意再次参加、是否产生持续阅读行为、是否带动家庭成员共同使用空间。</w:t>
      </w:r>
    </w:p>
    <w:p w14:paraId="5C817189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</w:t>
      </w:r>
    </w:p>
    <w:p w14:paraId="2389F8A6">
      <w:pPr>
        <w:pStyle w:val="3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outlineLvl w:val="1"/>
        <w:rPr>
          <w:rFonts w:hint="eastAsia" w:ascii="等线 Light" w:hAnsi="等线 Light" w:eastAsia="黑体" w:cs="Times New Roman"/>
          <w:b w:val="0"/>
          <w:bCs w:val="0"/>
          <w:color w:val="000000"/>
          <w:kern w:val="2"/>
          <w:sz w:val="30"/>
          <w:szCs w:val="30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（二）空间服务供给对阅读体验改善的影响</w:t>
      </w:r>
    </w:p>
    <w:p w14:paraId="39FD3418">
      <w:pPr>
        <w:pStyle w:val="4"/>
        <w:keepNext/>
        <w:keepLines/>
        <w:pageBreakBefore w:val="0"/>
        <w:widowControl w:val="0"/>
        <w:suppressLineNumbers w:val="0"/>
        <w:spacing w:beforeLines="25" w:beforeAutospacing="0" w:after="0" w:afterAutospacing="1" w:line="240" w:lineRule="auto"/>
        <w:ind w:left="0" w:right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1.阅读体验改善对社区共建参与的影响</w:t>
      </w:r>
    </w:p>
    <w:p w14:paraId="7B6ECA6E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</w:t>
      </w:r>
    </w:p>
    <w:p w14:paraId="24C3D759">
      <w:pPr>
        <w:pStyle w:val="4"/>
        <w:keepNext/>
        <w:keepLines/>
        <w:pageBreakBefore w:val="0"/>
        <w:widowControl w:val="0"/>
        <w:suppressLineNumbers w:val="0"/>
        <w:spacing w:beforeLines="25" w:beforeAutospacing="0" w:after="0" w:afterAutospacing="1" w:line="240" w:lineRule="auto"/>
        <w:ind w:left="0" w:right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2.空间服务供给对社区共建参与的影响</w:t>
      </w:r>
    </w:p>
    <w:p w14:paraId="268AB220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66个服务节点、2类核心场景，阶段满意度约为77%，一般问题在8天内完成闭环。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</w:t>
      </w:r>
    </w:p>
    <w:p w14:paraId="2DCBF1BD">
      <w:pPr>
        <w:pStyle w:val="3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outlineLvl w:val="1"/>
        <w:rPr>
          <w:rFonts w:hint="eastAsia" w:ascii="黑体" w:hAnsi="宋体" w:cs="黑体"/>
          <w:b w:val="0"/>
          <w:bCs w:val="0"/>
          <w:color w:val="000000"/>
          <w:kern w:val="2"/>
          <w:sz w:val="30"/>
          <w:szCs w:val="30"/>
          <w:lang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（三）中介效应</w:t>
      </w:r>
    </w:p>
    <w:p w14:paraId="37F4B242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73个服务节点、3类核心场景，阶段满意度约为80%，一般问题在9天内完成闭环。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</w:t>
      </w:r>
    </w:p>
    <w:p w14:paraId="2AE5AA4C">
      <w:pPr>
        <w:pStyle w:val="2"/>
        <w:keepNext/>
        <w:keepLines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Lines="50" w:beforeAutospacing="0" w:line="240" w:lineRule="auto" w:after="0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ind w:firstLineChars="0"/>
      </w:pPr>
      <w:r>
        <w:rPr>
          <w:rFonts w:ascii="黑体" w:hAnsi="黑体" w:eastAsia="黑体" w:cs="黑体"/>
          <w:b/>
          <w:color w:val="000000"/>
          <w:sz w:val="30"/>
        </w:rPr>
        <w:t>六、分组检验与落地计划</w:t>
      </w:r>
    </w:p>
    <w:p w14:paraId="16C96B06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本轮记录覆盖80个服务节点、4类核心场景，阶段满意度约为83%，一般问题在10天内完成闭环。物资管理采用低库存、快补给原则。</w:t>
      </w:r>
    </w:p>
    <w:p w14:paraId="6C7841AF">
      <w:pPr>
        <w:pStyle w:val="3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（一）基于读者年龄的组别间检验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10  读者年龄组模型拟合指标表</w:t>
      </w:r>
    </w:p>
    <w:tbl>
      <w:tblPr>
        <w:tblStyle w:val="9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05"/>
        <w:gridCol w:w="605"/>
        <w:gridCol w:w="672"/>
        <w:gridCol w:w="672"/>
        <w:gridCol w:w="743"/>
        <w:gridCol w:w="743"/>
        <w:gridCol w:w="743"/>
        <w:gridCol w:w="881"/>
        <w:gridCol w:w="656"/>
        <w:gridCol w:w="899"/>
      </w:tblGrid>
      <w:tr w14:paraId="01A28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  <w:cantSplit/>
          <w:tblHeader/>
        </w:trPr>
        <w:tc>
          <w:tcPr>
            <w:tcW w:w="910" w:type="dxa"/>
            <w:gridSpan w:val="10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ACB1AA8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指标</w:t>
            </w:r>
          </w:p>
        </w:tc>
      </w:tr>
      <w:tr w14:paraId="6D2A2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  <w:cantSplit/>
        </w:trPr>
        <w:tc>
          <w:tcPr>
            <w:tcW w:w="196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D80D3C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建议范围</w:t>
            </w:r>
          </w:p>
        </w:tc>
        <w:tc>
          <w:tcPr>
            <w:tcW w:w="50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2E8CB2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&lt;3</w:t>
            </w:r>
          </w:p>
        </w:tc>
        <w:tc>
          <w:tcPr>
            <w:tcW w:w="6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5D4138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6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BE2E09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&gt;0.85</w:t>
            </w:r>
          </w:p>
        </w:tc>
        <w:tc>
          <w:tcPr>
            <w:tcW w:w="7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157AA8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&lt;0.08</w:t>
            </w:r>
          </w:p>
        </w:tc>
        <w:tc>
          <w:tcPr>
            <w:tcW w:w="7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D69896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&lt;0.05</w:t>
            </w:r>
          </w:p>
        </w:tc>
        <w:tc>
          <w:tcPr>
            <w:tcW w:w="891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17AC5B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910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8884EB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</w:tr>
      <w:tr w14:paraId="538D6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  <w:cantSplit/>
        </w:trPr>
        <w:tc>
          <w:tcPr>
            <w:tcW w:w="196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5B2F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预约履约率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41688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0.903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43C6A7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0.691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3149AC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0.972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1DE959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0.852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4BA841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0.854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6563D3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0.877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C2998D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0.837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D5101C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0.764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02AE4C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0.930</w:t>
            </w:r>
          </w:p>
        </w:tc>
      </w:tr>
      <w:tr w14:paraId="67873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  <w:cantSplit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0F627B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书目更新率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32CF93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0.913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D1B7E8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0.633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E16F49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0.907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7E1922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0.718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E74816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0.645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A3EE52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0.624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C23EE8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0.693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4A4727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0.943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20D90E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0.877</w:t>
            </w:r>
          </w:p>
        </w:tc>
      </w:tr>
      <w:tr w14:paraId="397C5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  <w:cantSplit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F0C118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意见响应率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920E46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0.730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FFF8C7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0.968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F93081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0.698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80EA9E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0.792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EA041E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0.716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B16AEA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0.892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5194A2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0.674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5CDF59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0.854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337670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0.692</w:t>
            </w:r>
          </w:p>
        </w:tc>
      </w:tr>
      <w:tr w14:paraId="474FE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  <w:cantSplit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4E3A9B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座位周转率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1E699A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0.897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429529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0.874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EE23DE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0.682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4A8AEF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0.903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68A789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0.885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14FF71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0.735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57E3F0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0.751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27CC2D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0.736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036674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0.873</w:t>
            </w:r>
          </w:p>
        </w:tc>
      </w:tr>
      <w:tr w14:paraId="5A40B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  <w:cantSplit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32E9B5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活动到场率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EC5D07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0.802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E774B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0.899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DB45CF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0.627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83FAB2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0.744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9B1107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0.726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8EACC0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0.897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982876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0.629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21F3C1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0.657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823076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0.961</w:t>
            </w:r>
          </w:p>
        </w:tc>
      </w:tr>
      <w:tr w14:paraId="74470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  <w:cantSplit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668DAE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借阅转化率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EE7E56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0.906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A5AF2B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0.691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B1E9ED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0.719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0CC42D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0.758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8FBC59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0.885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AEF961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0.725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4C4A36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0.792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3ACDA1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0.949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CA96A4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0.696</w:t>
            </w:r>
          </w:p>
        </w:tc>
      </w:tr>
      <w:tr w14:paraId="584D3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  <w:cantSplit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7E30FD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505E9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03607A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0.823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EA4C6B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0.808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03D6EB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0.818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2FE775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0.648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242FD2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0.672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F8BD84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0.697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9349EC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0.926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D59981">
            <w:pPr>
              <w:keepNext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0.879</w:t>
            </w:r>
          </w:p>
        </w:tc>
      </w:tr>
      <w:tr w14:paraId="35A34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  <w:cantSplit/>
        </w:trPr>
        <w:tc>
          <w:tcPr>
            <w:tcW w:w="196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2C9BCB4">
            <w:pPr>
              <w:keepNext w:val="0"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读者满意度</w:t>
            </w:r>
          </w:p>
        </w:tc>
        <w:tc>
          <w:tcPr>
            <w:tcW w:w="50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45E73C2">
            <w:pPr>
              <w:keepNext w:val="0"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0.742</w:t>
            </w:r>
          </w:p>
        </w:tc>
        <w:tc>
          <w:tcPr>
            <w:tcW w:w="6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F4BE419">
            <w:pPr>
              <w:keepNext w:val="0"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0.706</w:t>
            </w:r>
          </w:p>
        </w:tc>
        <w:tc>
          <w:tcPr>
            <w:tcW w:w="6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4218276">
            <w:pPr>
              <w:keepNext w:val="0"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0.826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D75E08B">
            <w:pPr>
              <w:keepNext w:val="0"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0.909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1B46DBA">
            <w:pPr>
              <w:keepNext w:val="0"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0.647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425ACE">
            <w:pPr>
              <w:keepNext w:val="0"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0.669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F81E773">
            <w:pPr>
              <w:keepNext w:val="0"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0.652</w:t>
            </w:r>
          </w:p>
        </w:tc>
        <w:tc>
          <w:tcPr>
            <w:tcW w:w="65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B651702">
            <w:pPr>
              <w:keepNext w:val="0"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0.678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950D12E">
            <w:pPr>
              <w:keepNext w:val="0"/>
              <w:keepLines/>
              <w:widowControl w:val="0"/>
              <w:suppressLineNumbers w:val="0"/>
              <w:autoSpaceDE w:val="0"/>
              <w:autoSpaceDN/>
              <w:snapToGrid w:val="0"/>
              <w:spacing w:beforeLines="0" w:beforeAutospacing="0" w:after="0" w:afterAutospacing="0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0.907</w:t>
            </w:r>
          </w:p>
        </w:tc>
      </w:tr>
    </w:tbl>
    <w:p w14:paraId="22618FD3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1"/>
          <w:lang w:val="en-US" w:eastAsia="zh-CN" w:bidi="ar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30个服务节点、6类核心场景，阶段满意度约为89%，一般问题在12天内完成闭环。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为提升服务的真实可达性，方案建议在社区公告栏、学校门口、商街转角和线上小程序同步发布开放时间、活动日历与预约规则。</w:t>
      </w:r>
    </w:p>
    <w:p w14:paraId="07069901">
      <w:pPr>
        <w:pStyle w:val="3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（二）基于到访频次的组别间检验</w:t>
      </w:r>
    </w:p>
    <w:p w14:paraId="1D05ACE2">
      <w:pPr>
        <w:pStyle w:val="4"/>
        <w:keepNext/>
        <w:keepLines/>
        <w:pageBreakBefore w:val="0"/>
        <w:numPr>
          <w:ilvl w:val="0"/>
          <w:numId w:val="0"/>
        </w:numPr>
        <w:bidi w:val="0"/>
        <w:ind w:left="402" w:leftChars="0" w:firstLineChars="0"/>
        <w:jc w:val="left"/>
        <w:rPr>
          <w:rFonts w:hint="eastAsia"/>
          <w:lang w:val="en-US" w:eastAsia="zh-CN"/>
        </w:rPr>
        <w:spacing w:line="240" w:lineRule="auto" w:beforeLines="25" w:after="0"/>
      </w:pPr>
      <w:r>
        <w:rPr>
          <w:rFonts w:ascii="宋体" w:hAnsi="宋体" w:eastAsia="宋体" w:cs="宋体"/>
          <w:b w:val="0"/>
          <w:color w:val="000000"/>
          <w:sz w:val="24"/>
        </w:rPr>
        <w:t>1.基于访问类型的组别间检验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11  访问类型点位执行要点表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9"/>
        <w:gridCol w:w="2280"/>
        <w:gridCol w:w="3190"/>
      </w:tblGrid>
      <w:tr w14:paraId="492014FC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E2E508A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66A1CEF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点位/指标</w:t>
            </w:r>
          </w:p>
        </w:tc>
        <w:tc>
          <w:tcPr>
            <w:tcW w:w="319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0317F47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执行要点</w:t>
            </w:r>
          </w:p>
        </w:tc>
      </w:tr>
      <w:tr w14:paraId="5F68754D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D08A1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灯塔共享厅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86080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夜间阅览</w:t>
            </w:r>
          </w:p>
        </w:tc>
        <w:tc>
          <w:tcPr>
            <w:tcW w:w="3190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8C3E7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配置21个座位，月均活动5场，问题闭环率84%。</w:t>
            </w:r>
          </w:p>
        </w:tc>
      </w:tr>
      <w:tr w14:paraId="649C806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BF86B8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栖岸书廊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67E6B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手作课堂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D22386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配置24个座位，月均活动6场，问题闭环率86%。</w:t>
            </w:r>
          </w:p>
        </w:tc>
      </w:tr>
      <w:tr w14:paraId="007AD6F0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AD266A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花径活动室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CDF6D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数字借阅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98D7A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配置27个座位，月均活动7场，问题闭环率88%。</w:t>
            </w:r>
          </w:p>
        </w:tc>
      </w:tr>
      <w:tr w14:paraId="61D2CCB6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569D9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海风书房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C7589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社区讲读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4F089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配置30个座位，月均活动8场，问题闭环率90%。</w:t>
            </w:r>
          </w:p>
        </w:tc>
      </w:tr>
      <w:tr w14:paraId="00FBE755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D1E25F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松石书屋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4B59D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安静办公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E36CAF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配置33个座位，月均活动9场，问题闭环率92%。</w:t>
            </w:r>
          </w:p>
        </w:tc>
      </w:tr>
      <w:tr w14:paraId="136E2EE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4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51F878E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云汀阅读角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C3BF3E6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周末沙龙</w:t>
            </w:r>
          </w:p>
        </w:tc>
        <w:tc>
          <w:tcPr>
            <w:tcW w:w="319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1C3404D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配置36个座位，月均活动4场，问题闭环率94%。</w:t>
            </w:r>
          </w:p>
        </w:tc>
      </w:tr>
    </w:tbl>
    <w:p w14:paraId="73262861">
      <w:pPr>
        <w:pStyle w:val="8"/>
        <w:keepNext w:val="0"/>
        <w:keepLines w:val="0"/>
        <w:widowControl w:val="0"/>
        <w:suppressLineNumbers w:val="0"/>
        <w:spacing w:beforeLines="0" w:beforeAutospacing="0" w:after="0" w:afterAutospacing="1" w:line="240" w:lineRule="auto"/>
        <w:ind w:left="0" w:right="0" w:firstLineChars="0"/>
        <w:contextualSpacing/>
        <w:jc w:val="left"/>
        <w:rPr>
          <w:rFonts w:hint="eastAsia" w:ascii="宋体" w:hAnsi="宋体" w:eastAsia="宋体" w:cs="宋体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12  访问类型运营指标统计表</w:t>
      </w:r>
    </w:p>
    <w:tbl>
      <w:tblPr>
        <w:tblStyle w:val="10"/>
        <w:tblW w:w="8685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1543"/>
        <w:gridCol w:w="1663"/>
        <w:gridCol w:w="3216"/>
      </w:tblGrid>
      <w:tr w14:paraId="036B6B0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226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0881B26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154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4D6B92E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统计值</w:t>
            </w:r>
          </w:p>
        </w:tc>
        <w:tc>
          <w:tcPr>
            <w:tcW w:w="166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ACD72F8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周期</w:t>
            </w:r>
          </w:p>
        </w:tc>
        <w:tc>
          <w:tcPr>
            <w:tcW w:w="321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EB4C6D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28CA041E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3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3DDBA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书目更新率</w:t>
            </w:r>
          </w:p>
        </w:tc>
        <w:tc>
          <w:tcPr>
            <w:tcW w:w="1543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A5626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86.1</w:t>
            </w:r>
          </w:p>
        </w:tc>
        <w:tc>
          <w:tcPr>
            <w:tcW w:w="1663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FE887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六月</w:t>
            </w:r>
          </w:p>
        </w:tc>
        <w:tc>
          <w:tcPr>
            <w:tcW w:w="3216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4506D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531E94C0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9FA0A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意见响应率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0A315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89.1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AD507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七月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2E068A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1C6B24EE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CA6C5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座位周转率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FCCA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92.1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0F0F56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八月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FEC38B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7D0B4F4F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60B91B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活动到场率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265F8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70.1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619C9F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九月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E31F1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38A8466D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55C399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借阅转化率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D1B1B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73.1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93A82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一月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392D7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04109B8B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CA634DB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54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076BB98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76.1</w:t>
            </w:r>
          </w:p>
        </w:tc>
        <w:tc>
          <w:tcPr>
            <w:tcW w:w="166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121DBF9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二月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A5F23FA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</w:tbl>
    <w:p w14:paraId="1852BF24">
      <w:pPr>
        <w:pStyle w:val="8"/>
        <w:keepNext w:val="0"/>
        <w:keepLines w:val="0"/>
        <w:widowControl w:val="0"/>
        <w:suppressLineNumbers w:val="0"/>
        <w:spacing w:beforeLines="0" w:beforeAutospacing="0" w:after="0" w:afterAutospacing="1" w:line="240" w:lineRule="auto"/>
        <w:ind w:left="0" w:right="0" w:firstLineChars="0"/>
        <w:contextualSpacing/>
        <w:jc w:val="left"/>
        <w:rPr>
          <w:rFonts w:hint="eastAsia" w:ascii="宋体" w:hAnsi="宋体" w:eastAsia="宋体" w:cs="宋体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13  访问类型差异检验表</w:t>
      </w:r>
    </w:p>
    <w:tbl>
      <w:tblPr>
        <w:tblStyle w:val="10"/>
        <w:tblW w:w="4997" w:type="pct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1163"/>
        <w:gridCol w:w="1378"/>
        <w:gridCol w:w="1163"/>
        <w:gridCol w:w="837"/>
        <w:gridCol w:w="1487"/>
        <w:gridCol w:w="1487"/>
      </w:tblGrid>
      <w:tr w14:paraId="6DB37822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  <w:cantSplit/>
          <w:tblHeader/>
        </w:trPr>
        <w:tc>
          <w:tcPr>
            <w:tcW w:w="588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1118EF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682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87D4222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组别</w:t>
            </w:r>
          </w:p>
        </w:tc>
        <w:tc>
          <w:tcPr>
            <w:tcW w:w="808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FFD453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均值差</w:t>
            </w:r>
          </w:p>
        </w:tc>
        <w:tc>
          <w:tcPr>
            <w:tcW w:w="682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1D912A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标准误</w:t>
            </w:r>
          </w:p>
        </w:tc>
        <w:tc>
          <w:tcPr>
            <w:tcW w:w="491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4E5723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P值</w:t>
            </w:r>
          </w:p>
        </w:tc>
        <w:tc>
          <w:tcPr>
            <w:tcW w:w="872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DE049B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效应量</w:t>
            </w:r>
          </w:p>
          <w:p w14:paraId="44702E56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</w:p>
        </w:tc>
        <w:tc>
          <w:tcPr>
            <w:tcW w:w="872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8F6B15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说明</w:t>
            </w:r>
          </w:p>
          <w:p w14:paraId="632AF18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</w:p>
        </w:tc>
      </w:tr>
      <w:tr w14:paraId="712018FA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88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73453AF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意见响应率</w:t>
            </w:r>
          </w:p>
        </w:tc>
        <w:tc>
          <w:tcPr>
            <w:tcW w:w="68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8E67084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组3</w:t>
            </w:r>
          </w:p>
        </w:tc>
        <w:tc>
          <w:tcPr>
            <w:tcW w:w="808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6243085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0.278</w:t>
            </w:r>
          </w:p>
        </w:tc>
        <w:tc>
          <w:tcPr>
            <w:tcW w:w="68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57D6070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0.129</w:t>
            </w:r>
          </w:p>
        </w:tc>
        <w:tc>
          <w:tcPr>
            <w:tcW w:w="49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C84E581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0.055</w:t>
            </w:r>
          </w:p>
        </w:tc>
        <w:tc>
          <w:tcPr>
            <w:tcW w:w="87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EC7AAC3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0.245</w:t>
            </w:r>
          </w:p>
        </w:tc>
        <w:tc>
          <w:tcPr>
            <w:tcW w:w="87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1B643E2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差异较小</w:t>
            </w:r>
          </w:p>
        </w:tc>
      </w:tr>
    </w:tbl>
    <w:p w14:paraId="10D20B2C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 本轮记录覆盖37个服务节点、7类核心场景，阶段满意度约为92%，一般问题在13天内完成闭环。</w:t>
      </w:r>
    </w:p>
    <w:p w14:paraId="00B2D561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44个服务节点、8类核心场景，阶段满意度约为67%，一般问题在14天内完成闭环。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预算安排以运营稳定为先，优先保障人员值守、基础维护、图书更新、数字系统和安全巡检。</w:t>
      </w:r>
    </w:p>
    <w:p w14:paraId="033333A8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51个服务节点、9类核心场景，阶段满意度约为70%，一般问题在15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</w:t>
      </w:r>
    </w:p>
    <w:p w14:paraId="51B95BAD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本轮记录覆盖58个服务节点、2类核心场景，阶段满意度约为73%，一般问题在16天内完成闭环。预算安排以运营稳定为先，优先保障人员值守、基础维护、图书更新、数字系统和安全巡检。</w:t>
      </w:r>
    </w:p>
    <w:p w14:paraId="3F1C8308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本轮记录覆盖65个服务节点、3类核心场景，阶段满意度约为76%，一般问题在17天内完成闭环。</w:t>
      </w:r>
    </w:p>
    <w:p w14:paraId="0D86856C">
      <w:pPr>
        <w:pStyle w:val="4"/>
        <w:keepNext/>
        <w:keepLines/>
        <w:pageBreakBefore w:val="0"/>
        <w:numPr>
          <w:ilvl w:val="0"/>
          <w:numId w:val="0"/>
        </w:numPr>
        <w:bidi w:val="0"/>
        <w:ind w:left="402" w:leftChars="0" w:firstLineChars="0"/>
        <w:jc w:val="left"/>
        <w:rPr>
          <w:rFonts w:hint="eastAsia"/>
          <w:lang w:val="en-US" w:eastAsia="zh-CN"/>
        </w:rPr>
        <w:spacing w:line="240" w:lineRule="auto" w:beforeLines="25" w:after="0"/>
      </w:pPr>
      <w:r>
        <w:rPr>
          <w:rFonts w:ascii="宋体" w:hAnsi="宋体" w:eastAsia="宋体" w:cs="宋体"/>
          <w:b w:val="0"/>
          <w:color w:val="000000"/>
          <w:sz w:val="24"/>
        </w:rPr>
        <w:t>2.基于停留时长的组别间检验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14  停留时长点位执行要点表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2316"/>
        <w:gridCol w:w="3103"/>
      </w:tblGrid>
      <w:tr w14:paraId="3C1E9FB0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08E7BF5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9C131C2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点位/指标</w:t>
            </w:r>
          </w:p>
        </w:tc>
        <w:tc>
          <w:tcPr>
            <w:tcW w:w="310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9AEF35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执行要点</w:t>
            </w:r>
          </w:p>
        </w:tc>
      </w:tr>
      <w:tr w14:paraId="5D8A0C5C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140BE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海风书房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83359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社区讲读</w:t>
            </w:r>
          </w:p>
        </w:tc>
        <w:tc>
          <w:tcPr>
            <w:tcW w:w="3103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52848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配置21个座位，月均活动5场，问题闭环率84%。</w:t>
            </w:r>
          </w:p>
        </w:tc>
      </w:tr>
      <w:tr w14:paraId="58D0ADCB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0C4C7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松石书屋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D9494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安静办公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18E68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配置24个座位，月均活动6场，问题闭环率86%。</w:t>
            </w:r>
          </w:p>
        </w:tc>
      </w:tr>
      <w:tr w14:paraId="4BBF6B77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B9416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云汀阅读角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8667C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周末沙龙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D322C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配置27个座位，月均活动7场，问题闭环率88%。</w:t>
            </w:r>
          </w:p>
        </w:tc>
      </w:tr>
      <w:tr w14:paraId="77A2360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8D7BF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蓝湾文化站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D2BD6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晨间自习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0E37FB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配置30个座位，月均活动8场，问题闭环率90%。</w:t>
            </w:r>
          </w:p>
        </w:tc>
      </w:tr>
      <w:tr w14:paraId="7B29E6CA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EFC078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银杏书舍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F5A9E6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亲子共读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E52D5A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配置33个座位，月均活动9场，问题闭环率92%。</w:t>
            </w:r>
          </w:p>
        </w:tc>
      </w:tr>
      <w:tr w14:paraId="3A174A9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1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97C78F6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灯塔共享厅</w:t>
            </w:r>
          </w:p>
        </w:tc>
        <w:tc>
          <w:tcPr>
            <w:tcW w:w="23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8168B07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旧书交换</w:t>
            </w:r>
          </w:p>
        </w:tc>
        <w:tc>
          <w:tcPr>
            <w:tcW w:w="310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8F4E689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配置36个座位，月均活动4场，问题闭环率94%。</w:t>
            </w:r>
          </w:p>
        </w:tc>
      </w:tr>
    </w:tbl>
    <w:p w14:paraId="020A0D07">
      <w:pPr>
        <w:pStyle w:val="8"/>
        <w:keepNext w:val="0"/>
        <w:keepLines w:val="0"/>
        <w:widowControl w:val="0"/>
        <w:suppressLineNumbers w:val="0"/>
        <w:spacing w:beforeLines="0" w:beforeAutospacing="0" w:after="0" w:afterAutospacing="1" w:line="240" w:lineRule="auto"/>
        <w:ind w:left="0" w:right="0" w:firstLineChars="0"/>
        <w:contextualSpacing/>
        <w:jc w:val="left"/>
        <w:rPr>
          <w:rFonts w:hint="eastAsia" w:ascii="宋体" w:hAnsi="宋体" w:eastAsia="宋体" w:cs="宋体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15  停留时长运营指标统计表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1"/>
        <w:gridCol w:w="1565"/>
        <w:gridCol w:w="1685"/>
        <w:gridCol w:w="2758"/>
      </w:tblGrid>
      <w:tr w14:paraId="458412E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251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A63396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156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483E54EB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统计值</w:t>
            </w:r>
          </w:p>
        </w:tc>
        <w:tc>
          <w:tcPr>
            <w:tcW w:w="168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7E718B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周期</w:t>
            </w:r>
          </w:p>
        </w:tc>
        <w:tc>
          <w:tcPr>
            <w:tcW w:w="275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D0054E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5B87AC27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12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4D9B46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活动到场率</w:t>
            </w:r>
          </w:p>
        </w:tc>
        <w:tc>
          <w:tcPr>
            <w:tcW w:w="1565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855F9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89.1</w:t>
            </w:r>
          </w:p>
        </w:tc>
        <w:tc>
          <w:tcPr>
            <w:tcW w:w="1685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6B5616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九月</w:t>
            </w:r>
          </w:p>
        </w:tc>
        <w:tc>
          <w:tcPr>
            <w:tcW w:w="2758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52C7B6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4D875CC5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6EEE89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借阅转化率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D52FD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92.1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C55ECA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一月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9F9E40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1F46528B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9E8F1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7ABC2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70.1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78BB8B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二月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552760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11F2955E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0C0A8B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读者满意度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30A759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73.1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AFA6F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三月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A81C4D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149E901C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A430A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预约履约率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8707E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76.1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00BC78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四月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5FE023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1C50BDF2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1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B3258C6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书目更新率</w:t>
            </w:r>
          </w:p>
        </w:tc>
        <w:tc>
          <w:tcPr>
            <w:tcW w:w="156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96D66D8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79.1</w:t>
            </w:r>
          </w:p>
        </w:tc>
        <w:tc>
          <w:tcPr>
            <w:tcW w:w="168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71C00DF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五月</w:t>
            </w:r>
          </w:p>
        </w:tc>
        <w:tc>
          <w:tcPr>
            <w:tcW w:w="275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CAE79E9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</w:tbl>
    <w:p w14:paraId="0AFEF699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数据采集坚持必要、适度、可解释的原则，不收集与阅读服务无关的个人信息。</w:t>
      </w:r>
    </w:p>
    <w:p w14:paraId="6F01BDEC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79个服务节点、5类核心场景，阶段满意度约为82%，一般问题在8天内完成闭环。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数据采集坚持必要、适度、可解释的原则，不收集与阅读服务无关的个人信息。</w:t>
      </w:r>
    </w:p>
    <w:p w14:paraId="005AD3C0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活动设计应避免单纯追求数量，重点关注读者是否愿意再次参加、是否产生持续阅读行为、是否带动家庭成员共同使用空间。</w:t>
      </w:r>
    </w:p>
    <w:p w14:paraId="01D54978">
      <w:pPr>
        <w:pStyle w:val="4"/>
        <w:keepNext/>
        <w:keepLines/>
        <w:pageBreakBefore w:val="0"/>
        <w:numPr>
          <w:ilvl w:val="0"/>
          <w:numId w:val="0"/>
        </w:numPr>
        <w:bidi w:val="0"/>
        <w:ind w:left="402" w:leftChars="0" w:firstLineChars="0"/>
        <w:jc w:val="left"/>
        <w:rPr>
          <w:rFonts w:hint="eastAsia"/>
          <w:lang w:val="en-US" w:eastAsia="zh-CN"/>
        </w:rPr>
        <w:spacing w:line="240" w:lineRule="auto" w:beforeLines="25" w:after="0"/>
      </w:pPr>
      <w:r>
        <w:rPr>
          <w:rFonts w:ascii="宋体" w:hAnsi="宋体" w:eastAsia="宋体" w:cs="宋体"/>
          <w:b w:val="0"/>
          <w:color w:val="000000"/>
          <w:sz w:val="24"/>
        </w:rPr>
        <w:t>3.基于居住距离的组别间检验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16  居住距离运营指标统计表</w:t>
      </w:r>
    </w:p>
    <w:tbl>
      <w:tblPr>
        <w:tblStyle w:val="10"/>
        <w:tblW w:w="4998" w:type="pct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1856"/>
        <w:gridCol w:w="1856"/>
        <w:gridCol w:w="2466"/>
      </w:tblGrid>
      <w:tr w14:paraId="69D8E460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1374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65A8B86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1089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B14A9B8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统计值</w:t>
            </w:r>
          </w:p>
        </w:tc>
        <w:tc>
          <w:tcPr>
            <w:tcW w:w="1089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C7F1AD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周期</w:t>
            </w:r>
          </w:p>
        </w:tc>
        <w:tc>
          <w:tcPr>
            <w:tcW w:w="1447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9C00E3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549118FE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74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652E46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借阅转化率</w:t>
            </w:r>
          </w:p>
        </w:tc>
        <w:tc>
          <w:tcPr>
            <w:tcW w:w="1089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CD994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90.1</w:t>
            </w:r>
          </w:p>
        </w:tc>
        <w:tc>
          <w:tcPr>
            <w:tcW w:w="1089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DAE3C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一月</w:t>
            </w:r>
          </w:p>
        </w:tc>
        <w:tc>
          <w:tcPr>
            <w:tcW w:w="1447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636C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0BD403E5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48737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3C064A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93.1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B3AD0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二月</w:t>
            </w:r>
          </w:p>
        </w:tc>
        <w:tc>
          <w:tcPr>
            <w:tcW w:w="1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1FBC29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12EE4722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A97EA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读者满意度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52F83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71.1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C5903A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三月</w:t>
            </w:r>
          </w:p>
        </w:tc>
        <w:tc>
          <w:tcPr>
            <w:tcW w:w="1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3F00E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03C9413E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3FC468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预约履约率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F1E496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74.1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05A8A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四月</w:t>
            </w:r>
          </w:p>
        </w:tc>
        <w:tc>
          <w:tcPr>
            <w:tcW w:w="1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EE979F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3D8E8D70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9D850F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书目更新率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9FB4F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77.1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B5E8A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五月</w:t>
            </w:r>
          </w:p>
        </w:tc>
        <w:tc>
          <w:tcPr>
            <w:tcW w:w="1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0F4E4B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5665FBB6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74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1239201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意见响应率</w:t>
            </w:r>
          </w:p>
        </w:tc>
        <w:tc>
          <w:tcPr>
            <w:tcW w:w="1089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09441A6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80.1</w:t>
            </w:r>
          </w:p>
        </w:tc>
        <w:tc>
          <w:tcPr>
            <w:tcW w:w="1089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8EB58D3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六月</w:t>
            </w:r>
          </w:p>
        </w:tc>
        <w:tc>
          <w:tcPr>
            <w:tcW w:w="144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6E11207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</w:tbl>
    <w:p w14:paraId="15E2E3CE">
      <w:pPr>
        <w:pStyle w:val="8"/>
        <w:keepNext w:val="0"/>
        <w:keepLines w:val="0"/>
        <w:widowControl w:val="0"/>
        <w:suppressLineNumbers w:val="0"/>
        <w:spacing w:beforeLines="0" w:beforeAutospacing="0" w:after="0" w:afterAutospacing="1" w:line="240" w:lineRule="auto"/>
        <w:ind w:left="0" w:right="0" w:firstLineChars="0"/>
        <w:contextualSpacing/>
        <w:jc w:val="left"/>
        <w:rPr>
          <w:rFonts w:hint="eastAsia" w:ascii="宋体" w:hAnsi="宋体" w:eastAsia="宋体" w:cs="宋体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17  居住距离差异检验表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1"/>
        <w:gridCol w:w="1021"/>
        <w:gridCol w:w="779"/>
        <w:gridCol w:w="1021"/>
        <w:gridCol w:w="2987"/>
      </w:tblGrid>
      <w:tr w14:paraId="1545D4B7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271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E278C4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102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4E0C42C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测算值</w:t>
            </w:r>
          </w:p>
        </w:tc>
        <w:tc>
          <w:tcPr>
            <w:tcW w:w="779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59B3EB2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自由度</w:t>
            </w:r>
          </w:p>
        </w:tc>
        <w:tc>
          <w:tcPr>
            <w:tcW w:w="102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973D519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显著性</w:t>
            </w:r>
          </w:p>
        </w:tc>
        <w:tc>
          <w:tcPr>
            <w:tcW w:w="298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3855B9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789FD7F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71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A43062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02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B410B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19.1</w:t>
            </w:r>
          </w:p>
        </w:tc>
        <w:tc>
          <w:tcPr>
            <w:tcW w:w="779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4657D2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02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237C2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0.005</w:t>
            </w:r>
          </w:p>
        </w:tc>
        <w:tc>
          <w:tcPr>
            <w:tcW w:w="2986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C2BDAB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差异可用于排班优化</w:t>
            </w:r>
          </w:p>
        </w:tc>
      </w:tr>
      <w:tr w14:paraId="29A6F46C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7D4C8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读者满意度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61D1B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26.1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2C97C2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301B1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0.006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CFC097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结果保持稳定</w:t>
            </w:r>
          </w:p>
        </w:tc>
      </w:tr>
      <w:tr w14:paraId="1EADB63D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581B9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预约履约率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F37E0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33.1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DABEC8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838E1A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0.007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A61DBB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差异可用于排班优化</w:t>
            </w:r>
          </w:p>
        </w:tc>
      </w:tr>
      <w:tr w14:paraId="532D214A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56B2FF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书目更新率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E0631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40.1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2487C6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94E64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0.008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FDDAA3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结果保持稳定</w:t>
            </w:r>
          </w:p>
        </w:tc>
      </w:tr>
      <w:tr w14:paraId="36044C4F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E12E7B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意见响应率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FB61B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47.1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02692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B07A32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0.009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946C1E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差异可用于排班优化</w:t>
            </w:r>
          </w:p>
        </w:tc>
      </w:tr>
      <w:tr w14:paraId="40E33547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71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7BD1D78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座位周转率</w:t>
            </w:r>
          </w:p>
        </w:tc>
        <w:tc>
          <w:tcPr>
            <w:tcW w:w="102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C461400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54.1</w:t>
            </w:r>
          </w:p>
        </w:tc>
        <w:tc>
          <w:tcPr>
            <w:tcW w:w="77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8E75ECC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02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1D3B7AF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0.001</w:t>
            </w:r>
          </w:p>
        </w:tc>
        <w:tc>
          <w:tcPr>
            <w:tcW w:w="298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3882982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结果保持稳定</w:t>
            </w:r>
          </w:p>
        </w:tc>
      </w:tr>
    </w:tbl>
    <w:p w14:paraId="7BFAE44E">
      <w:pPr>
        <w:pStyle w:val="8"/>
        <w:keepNext w:val="0"/>
        <w:keepLines w:val="0"/>
        <w:widowControl w:val="0"/>
        <w:suppressLineNumbers w:val="0"/>
        <w:spacing w:beforeLines="0" w:beforeAutospacing="0" w:after="0" w:afterAutospacing="1" w:line="240" w:lineRule="auto"/>
        <w:ind w:left="0" w:right="0" w:firstLineChars="0"/>
        <w:contextualSpacing/>
        <w:jc w:val="left"/>
        <w:rPr>
          <w:rFonts w:hint="eastAsia" w:ascii="宋体" w:hAnsi="宋体" w:eastAsia="宋体" w:cs="宋体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18  居住距离分组运营指标表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4"/>
        <w:gridCol w:w="1415"/>
        <w:gridCol w:w="2789"/>
        <w:gridCol w:w="2001"/>
      </w:tblGrid>
      <w:tr w14:paraId="7A3AFEC9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231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6F8C05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75B7CB9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统计值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27D930A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周期</w:t>
            </w:r>
          </w:p>
        </w:tc>
        <w:tc>
          <w:tcPr>
            <w:tcW w:w="200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C17BCA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372459BD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314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773FE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读者满意度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7B5F3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92.1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A8804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三月</w:t>
            </w:r>
          </w:p>
        </w:tc>
        <w:tc>
          <w:tcPr>
            <w:tcW w:w="200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3C411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64BA92B7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CC542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预约履约率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A3CFBF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C0411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四月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EA2CB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3D3E6D81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3F3CA8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书目更新率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D6987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5A7CE9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五月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27F54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527B07C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6AAFB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意见响应率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C462B2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83D832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六月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5FA346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0EA0FDD1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1611CA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座位周转率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FABF1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79.1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6689F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七月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5DBA72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3AE9CA54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31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A8DC70C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活动到场率</w:t>
            </w:r>
          </w:p>
        </w:tc>
        <w:tc>
          <w:tcPr>
            <w:tcW w:w="141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234A965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82.1</w:t>
            </w:r>
          </w:p>
        </w:tc>
        <w:tc>
          <w:tcPr>
            <w:tcW w:w="278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97DC2DA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八月</w:t>
            </w:r>
          </w:p>
        </w:tc>
        <w:tc>
          <w:tcPr>
            <w:tcW w:w="200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69F1EB9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</w:tbl>
    <w:p w14:paraId="2433772B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 本轮记录覆盖29个服务节点、7类核心场景，阶段满意度约为88%，一般问题在10天内完成闭环。预算安排以运营稳定为先，优先保障人员值守、基础维护、图书更新、数字系统和安全巡检。</w:t>
      </w:r>
    </w:p>
    <w:p w14:paraId="217CC50B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</w:t>
      </w:r>
    </w:p>
    <w:p w14:paraId="37F11B61">
      <w:pPr>
        <w:pStyle w:val="3"/>
        <w:keepNext/>
        <w:keepLines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50" w:beforeAutospacing="0" w:line="240" w:lineRule="auto" w:after="0"/>
        <w:jc w:val="lef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  <w:ind w:firstLineChars="0"/>
      </w:pPr>
      <w:r>
        <w:rPr>
          <w:rFonts w:ascii="黑体" w:hAnsi="黑体" w:eastAsia="黑体" w:cs="黑体"/>
          <w:b/>
          <w:color w:val="000000"/>
          <w:sz w:val="28"/>
        </w:rPr>
        <w:t>（三）基于读者特征对服务升级偏好的探索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19  读者特征点位执行要点表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4"/>
        <w:gridCol w:w="2275"/>
        <w:gridCol w:w="3200"/>
      </w:tblGrid>
      <w:tr w14:paraId="2A432047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4B6BF0C8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5A729C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点位/指标</w:t>
            </w:r>
          </w:p>
        </w:tc>
        <w:tc>
          <w:tcPr>
            <w:tcW w:w="320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C63E86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执行要点</w:t>
            </w:r>
          </w:p>
        </w:tc>
      </w:tr>
      <w:tr w14:paraId="2DE2D704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837C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灯塔共享厅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0390E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旧书交换</w:t>
            </w:r>
          </w:p>
        </w:tc>
        <w:tc>
          <w:tcPr>
            <w:tcW w:w="3200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A7C06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配置21个座位，月均活动5场，问题闭环率84%。</w:t>
            </w:r>
          </w:p>
        </w:tc>
      </w:tr>
      <w:tr w14:paraId="4D2ED47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E0B27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栖岸书廊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148CE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主题书展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5D8C9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配置24个座位，月均活动6场，问题闭环率86%。</w:t>
            </w:r>
          </w:p>
        </w:tc>
      </w:tr>
      <w:tr w14:paraId="326055EB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507AE9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花径活动室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8717D6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夜间阅览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3D4F1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配置27个座位，月均活动7场，问题闭环率88%。</w:t>
            </w:r>
          </w:p>
        </w:tc>
      </w:tr>
      <w:tr w14:paraId="0B1F047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A412B6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海风书房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00A62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手作课堂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61F78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配置30个座位，月均活动8场，问题闭环率90%。</w:t>
            </w:r>
          </w:p>
        </w:tc>
      </w:tr>
      <w:tr w14:paraId="036CAD7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6E58F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松石书屋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B719B8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数字借阅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F88726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配置33个座位，月均活动9场，问题闭环率92%。</w:t>
            </w:r>
          </w:p>
        </w:tc>
      </w:tr>
      <w:tr w14:paraId="4EC2FEB4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4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1015371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云汀阅读角</w:t>
            </w:r>
          </w:p>
        </w:tc>
        <w:tc>
          <w:tcPr>
            <w:tcW w:w="227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DB35E4D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社区讲读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4745FB6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配置36个座位，月均活动4场，问题闭环率94%。</w:t>
            </w:r>
          </w:p>
        </w:tc>
      </w:tr>
    </w:tbl>
    <w:p w14:paraId="4F24D41C">
      <w:pPr>
        <w:pStyle w:val="8"/>
        <w:keepNext w:val="0"/>
        <w:keepLines w:val="0"/>
        <w:widowControl w:val="0"/>
        <w:suppressLineNumbers w:val="0"/>
        <w:spacing w:beforeLines="0" w:beforeAutospacing="0" w:after="0" w:afterAutospacing="1" w:line="240" w:lineRule="auto"/>
        <w:ind w:left="0" w:right="0" w:firstLineChars="0"/>
        <w:contextualSpacing/>
        <w:jc w:val="left"/>
        <w:rPr>
          <w:rFonts w:hint="eastAsia" w:ascii="宋体" w:hAnsi="宋体" w:eastAsia="宋体" w:cs="宋体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20  读者特征运营指标统计表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0"/>
        <w:gridCol w:w="1596"/>
        <w:gridCol w:w="1716"/>
        <w:gridCol w:w="2667"/>
      </w:tblGrid>
      <w:tr w14:paraId="2298D2B5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254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1B814D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159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2F56E9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统计值</w:t>
            </w:r>
          </w:p>
        </w:tc>
        <w:tc>
          <w:tcPr>
            <w:tcW w:w="171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4A247FF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周期</w:t>
            </w:r>
          </w:p>
        </w:tc>
        <w:tc>
          <w:tcPr>
            <w:tcW w:w="2667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287143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79950F24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40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5E4CF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书目更新率</w:t>
            </w:r>
          </w:p>
        </w:tc>
        <w:tc>
          <w:tcPr>
            <w:tcW w:w="1596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2C228A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94.1</w:t>
            </w:r>
          </w:p>
        </w:tc>
        <w:tc>
          <w:tcPr>
            <w:tcW w:w="1716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560E7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五月</w:t>
            </w:r>
          </w:p>
        </w:tc>
        <w:tc>
          <w:tcPr>
            <w:tcW w:w="2667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41C8D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1F9CEF04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EED21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意见响应率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D3143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72.1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EE3949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六月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F757E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526E1CF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40328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座位周转率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773E8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75.1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DFB62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七月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79BF4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75D7245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EB33B8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活动到场率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C93CB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78.1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BB0D0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八月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884F2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4A829E55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A9A978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借阅转化率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ADF67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81.1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4462C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九月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45C46E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5ABF9DBD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6E979A3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59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4835B7C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84.1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847D5CF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一月</w:t>
            </w:r>
          </w:p>
        </w:tc>
        <w:tc>
          <w:tcPr>
            <w:tcW w:w="266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28050F3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</w:tbl>
    <w:p w14:paraId="37D1EA37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预算安排以运营稳定为先，优先保障人员值守、基础维护、图书更新、数字系统和安全巡检。</w:t>
      </w:r>
    </w:p>
    <w:p w14:paraId="26D9DBD1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50个服务节点、2类核心场景，阶段满意度约为69%，一般问题在13天内完成闭环。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</w:t>
      </w:r>
    </w:p>
    <w:p w14:paraId="51D7CE03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调研记录显示，读者更关注安静座位、灯光舒适度、图书更新速度、活动预约便利性以及儿童阅读区的安全性。</w:t>
      </w:r>
    </w:p>
    <w:p w14:paraId="64D73F41">
      <w:pPr>
        <w:pStyle w:val="4"/>
        <w:keepNext/>
        <w:keepLines/>
        <w:pageBreakBefore w:val="0"/>
        <w:numPr>
          <w:ilvl w:val="0"/>
          <w:numId w:val="0"/>
        </w:numPr>
        <w:bidi w:val="0"/>
        <w:ind w:left="402" w:leftChars="0" w:firstLineChars="0"/>
        <w:jc w:val="left"/>
        <w:rPr>
          <w:rFonts w:hint="eastAsia"/>
          <w:lang w:val="en-US" w:eastAsia="zh-CN"/>
        </w:rPr>
        <w:spacing w:line="240" w:lineRule="auto" w:beforeLines="25" w:after="0"/>
      </w:pPr>
      <w:r>
        <w:rPr>
          <w:rFonts w:ascii="宋体" w:hAnsi="宋体" w:eastAsia="宋体" w:cs="宋体"/>
          <w:b w:val="0"/>
          <w:color w:val="000000"/>
          <w:sz w:val="24"/>
        </w:rPr>
        <w:t>1.不同年龄对预约工具与积分激励偏好的差异检验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21  年龄分组点位执行要点表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4"/>
        <w:gridCol w:w="2275"/>
        <w:gridCol w:w="3200"/>
      </w:tblGrid>
      <w:tr w14:paraId="6D503536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108E4AB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316755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点位/指标</w:t>
            </w:r>
          </w:p>
        </w:tc>
        <w:tc>
          <w:tcPr>
            <w:tcW w:w="320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01D9EF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执行要点</w:t>
            </w:r>
          </w:p>
        </w:tc>
      </w:tr>
      <w:tr w14:paraId="637DBA26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2CC83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花径活动室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985382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夜间阅览</w:t>
            </w:r>
          </w:p>
        </w:tc>
        <w:tc>
          <w:tcPr>
            <w:tcW w:w="3200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320CBA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配置21个座位，月均活动5场，问题闭环率84%。</w:t>
            </w:r>
          </w:p>
        </w:tc>
      </w:tr>
      <w:tr w14:paraId="6EA59A4E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09A29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海风书房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386EC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手作课堂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9C524D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配置24个座位，月均活动6场，问题闭环率86%。</w:t>
            </w:r>
          </w:p>
        </w:tc>
      </w:tr>
      <w:tr w14:paraId="2E2EE6B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76275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松石书屋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4EC4B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数字借阅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3AA0C8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配置27个座位，月均活动7场，问题闭环率88%。</w:t>
            </w:r>
          </w:p>
        </w:tc>
      </w:tr>
      <w:tr w14:paraId="66D1C76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72B6FF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云汀阅读角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7AA15F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社区讲读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A097E9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配置30个座位，月均活动8场，问题闭环率90%。</w:t>
            </w:r>
          </w:p>
        </w:tc>
      </w:tr>
      <w:tr w14:paraId="5306380A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31128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蓝湾文化站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64A4DB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安静办公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57C3B7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配置33个座位，月均活动9场，问题闭环率92%。</w:t>
            </w:r>
          </w:p>
        </w:tc>
      </w:tr>
      <w:tr w14:paraId="4E6CC712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04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EAF3ECD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银杏书舍</w:t>
            </w:r>
          </w:p>
        </w:tc>
        <w:tc>
          <w:tcPr>
            <w:tcW w:w="227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D04C962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周末沙龙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57C04B6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配置36个座位，月均活动4场，问题闭环率94%。</w:t>
            </w:r>
          </w:p>
        </w:tc>
      </w:tr>
    </w:tbl>
    <w:p w14:paraId="7D2FE690">
      <w:pPr>
        <w:pStyle w:val="8"/>
        <w:keepNext w:val="0"/>
        <w:keepLines w:val="0"/>
        <w:widowControl w:val="0"/>
        <w:suppressLineNumbers w:val="0"/>
        <w:spacing w:beforeLines="0" w:beforeAutospacing="0" w:after="0" w:afterAutospacing="1" w:line="240" w:lineRule="auto"/>
        <w:ind w:left="440" w:right="0" w:firstLineChars="0"/>
        <w:contextualSpacing/>
        <w:jc w:val="left"/>
        <w:rPr>
          <w:rFonts w:hint="eastAsia" w:ascii="宋体" w:hAnsi="宋体" w:eastAsia="宋体" w:cs="宋体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22  年龄分组运营指标统计表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1"/>
        <w:gridCol w:w="1565"/>
        <w:gridCol w:w="1685"/>
        <w:gridCol w:w="2758"/>
      </w:tblGrid>
      <w:tr w14:paraId="008DCABA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251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0E5409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156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8CF1B4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统计值</w:t>
            </w:r>
          </w:p>
        </w:tc>
        <w:tc>
          <w:tcPr>
            <w:tcW w:w="168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47E94F9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周期</w:t>
            </w:r>
          </w:p>
        </w:tc>
        <w:tc>
          <w:tcPr>
            <w:tcW w:w="275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0690EB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1E72FB94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12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CB48A9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座位周转率</w:t>
            </w:r>
          </w:p>
        </w:tc>
        <w:tc>
          <w:tcPr>
            <w:tcW w:w="1565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754DD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71.1</w:t>
            </w:r>
          </w:p>
        </w:tc>
        <w:tc>
          <w:tcPr>
            <w:tcW w:w="1685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255BE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七月</w:t>
            </w:r>
          </w:p>
        </w:tc>
        <w:tc>
          <w:tcPr>
            <w:tcW w:w="2758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CC3E3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7487E01F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359A2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活动到场率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8D1B16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74.1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454E6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八月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2CEA81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1E02C4A2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118DF8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借阅转化率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B5FED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77.1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7F687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九月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1B74A9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6FDB01BF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EF30C9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1B9F5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80.1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4EA03B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一月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CB416E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4A3337B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9F2F4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读者满意度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086C09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83.1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4F2022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二月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08BA71">
            <w:pPr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65B20177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1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8040BDE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预约履约率</w:t>
            </w:r>
          </w:p>
        </w:tc>
        <w:tc>
          <w:tcPr>
            <w:tcW w:w="156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64B2195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86.1</w:t>
            </w:r>
          </w:p>
        </w:tc>
        <w:tc>
          <w:tcPr>
            <w:tcW w:w="168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4F3CE55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三月</w:t>
            </w:r>
          </w:p>
        </w:tc>
        <w:tc>
          <w:tcPr>
            <w:tcW w:w="275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7E5B8FD">
            <w:pPr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</w:tbl>
    <w:p w14:paraId="16BD1A6B">
      <w:pPr>
        <w:pStyle w:val="8"/>
        <w:keepNext w:val="0"/>
        <w:keepLines w:val="0"/>
        <w:widowControl w:val="0"/>
        <w:suppressLineNumbers w:val="0"/>
        <w:spacing w:beforeLines="0" w:beforeAutospacing="0" w:after="0" w:afterAutospacing="1" w:line="240" w:lineRule="auto"/>
        <w:ind w:left="720" w:right="0" w:firstLineChars="0"/>
        <w:contextualSpacing/>
        <w:jc w:val="left"/>
        <w:rPr>
          <w:rFonts w:hint="eastAsia" w:ascii="宋体" w:hAnsi="宋体" w:eastAsia="宋体" w:cs="宋体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p w14:paraId="61A7B75E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64个服务节点、4类核心场景，阶段满意度约为75%，一般问题在15天内完成闭环。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数据采集坚持必要、适度、可解释的原则，不收集与阅读服务无关的个人信息。</w:t>
      </w:r>
    </w:p>
    <w:p w14:paraId="4D1413D3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本轮记录覆盖71个服务节点、5类核心场景，阶段满意度约为78%，一般问题在16天内完成闭环。</w:t>
      </w:r>
    </w:p>
    <w:p w14:paraId="1E69204C">
      <w:pPr>
        <w:pStyle w:val="4"/>
        <w:keepNext/>
        <w:keepLines/>
        <w:pageBreakBefore w:val="0"/>
        <w:numPr>
          <w:ilvl w:val="0"/>
          <w:numId w:val="0"/>
        </w:numPr>
        <w:bidi w:val="0"/>
        <w:ind w:left="402" w:leftChars="0" w:firstLineChars="0"/>
        <w:jc w:val="left"/>
        <w:rPr>
          <w:rFonts w:hint="eastAsia"/>
          <w:lang w:val="en-US" w:eastAsia="zh-CN"/>
        </w:rPr>
        <w:spacing w:line="240" w:lineRule="auto" w:beforeLines="25" w:after="0"/>
      </w:pPr>
      <w:r>
        <w:rPr>
          <w:rFonts w:ascii="宋体" w:hAnsi="宋体" w:eastAsia="宋体" w:cs="宋体"/>
          <w:b w:val="0"/>
          <w:color w:val="000000"/>
          <w:sz w:val="24"/>
        </w:rPr>
        <w:t>2.不同访问类型对空间模块偏好的差异检验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23  访问类型空间模块偏好差异检验表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1"/>
        <w:gridCol w:w="1162"/>
        <w:gridCol w:w="678"/>
        <w:gridCol w:w="2131"/>
        <w:gridCol w:w="1417"/>
      </w:tblGrid>
      <w:tr w14:paraId="591F965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313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076541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116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92A1F8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测算值</w:t>
            </w:r>
          </w:p>
        </w:tc>
        <w:tc>
          <w:tcPr>
            <w:tcW w:w="67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49F3BDA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自由度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023BB012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显著性</w:t>
            </w:r>
          </w:p>
        </w:tc>
        <w:tc>
          <w:tcPr>
            <w:tcW w:w="141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484FCD8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E1DCA04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13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A2D1D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活动到场率</w:t>
            </w:r>
          </w:p>
        </w:tc>
        <w:tc>
          <w:tcPr>
            <w:tcW w:w="1162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2760D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13.1</w:t>
            </w:r>
          </w:p>
        </w:tc>
        <w:tc>
          <w:tcPr>
            <w:tcW w:w="678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CF120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13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176CD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0.005</w:t>
            </w:r>
          </w:p>
        </w:tc>
        <w:tc>
          <w:tcPr>
            <w:tcW w:w="1416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C13EE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差异可用于排班优化</w:t>
            </w:r>
          </w:p>
        </w:tc>
      </w:tr>
      <w:tr w14:paraId="4AFCEEEB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3B2A4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借阅转化率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F688E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21.1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7C51A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D99F0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0.006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E9B9B2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结果保持稳定</w:t>
            </w:r>
          </w:p>
        </w:tc>
      </w:tr>
      <w:tr w14:paraId="650EAE89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13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24D3A90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16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F8465C1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28.1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494018A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6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DE0DD85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0.007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74A5C43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差异可用于排班优化</w:t>
            </w:r>
          </w:p>
        </w:tc>
      </w:tr>
    </w:tbl>
    <w:p w14:paraId="718F009A">
      <w:pPr>
        <w:pStyle w:val="8"/>
        <w:keepNext/>
        <w:keepLines/>
        <w:widowControl w:val="0"/>
        <w:suppressLineNumbers w:val="0"/>
        <w:spacing w:beforeLines="0" w:beforeAutospacing="0" w:after="0" w:afterAutospacing="1" w:line="240" w:lineRule="auto"/>
        <w:ind w:left="0" w:right="0" w:firstLineChars="0"/>
        <w:contextualSpacing/>
        <w:jc w:val="center"/>
        <w:rPr>
          <w:rFonts w:hint="eastAsia" w:ascii="宋体" w:hAnsi="宋体" w:eastAsia="宋体" w:cs="宋体"/>
          <w:sz w:val="24"/>
          <w:szCs w:val="24"/>
        </w:rPr>
        <w:numPr>
          <w:ilvl w:val="0"/>
          <w:numId w:val="0"/>
        </w:num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4229100" cy="2466975"/>
            <wp:effectExtent l="0" t="0" r="7620" b="1905"/>
            <wp:docPr id="3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6"/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27  公共书房资源配置图</w:t>
      </w:r>
    </w:p>
    <w:p w14:paraId="3A1DC745">
      <w:pPr>
        <w:keepNext w:val="0"/>
        <w:keepLines w:val="0"/>
        <w:widowControl w:val="0"/>
        <w:suppressLineNumbers w:val="0"/>
        <w:spacing w:beforeLines="0" w:beforeAutospacing="0" w:after="0" w:afterAutospacing="0" w:line="240" w:lineRule="auto"/>
        <w:ind w:left="0" w:right="0" w:firstLineChars="0"/>
        <w:jc w:val="left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35C830A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本轮记录覆盖78个服务节点、6类核心场景，阶段满意度约为81%，一般问题在17天内完成闭环。数据采集坚持必要、适度、可解释的原则，不收集与阅读服务无关的个人信息。</w:t>
      </w:r>
    </w:p>
    <w:p w14:paraId="73277ECD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本轮记录覆盖21个服务节点、7类核心场景，阶段满意度约为84%，一般问题在7天内完成闭环。预算安排以运营稳定为先，优先保障人员值守、基础维护、图书更新、数字系统和安全巡检。</w:t>
      </w:r>
    </w:p>
    <w:p w14:paraId="4C4926BD">
      <w:pPr>
        <w:pStyle w:val="8"/>
        <w:keepNext/>
        <w:keepLines/>
        <w:widowControl w:val="0"/>
        <w:suppressLineNumbers w:val="0"/>
        <w:spacing w:beforeLines="0" w:beforeAutospacing="0" w:after="0" w:afterAutospacing="1" w:line="240" w:lineRule="auto"/>
        <w:ind w:left="0" w:leftChars="0" w:right="0" w:firstLineChars="0"/>
        <w:contextualSpacing/>
        <w:jc w:val="center"/>
        <w:rPr>
          <w:rFonts w:hint="eastAsia" w:ascii="宋体" w:hAnsi="宋体" w:eastAsia="宋体" w:cs="宋体"/>
          <w:sz w:val="24"/>
          <w:szCs w:val="24"/>
        </w:rPr>
        <w:numPr>
          <w:ilvl w:val="0"/>
          <w:numId w:val="0"/>
        </w:num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4972050" cy="2476500"/>
            <wp:effectExtent l="0" t="0" r="11430" b="7620"/>
            <wp:docPr id="30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 descr="IMG_25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6"/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28  公共书房共创反馈闭环图</w:t>
      </w:r>
    </w:p>
    <w:p w14:paraId="48E9D2FD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28个服务节点、8类核心场景，阶段满意度约为87%，一般问题在8天内完成闭环。活动设计应避免单纯追求数量，重点关注读者是否愿意再次参加、是否产生持续阅读行为、是否带动家庭成员共同使用空间。</w:t>
      </w:r>
    </w:p>
    <w:p w14:paraId="259CAB29">
      <w:pPr>
        <w:pStyle w:val="4"/>
        <w:keepNext/>
        <w:keepLines/>
        <w:pageBreakBefore w:val="0"/>
        <w:numPr>
          <w:ilvl w:val="0"/>
          <w:numId w:val="0"/>
        </w:numPr>
        <w:bidi w:val="0"/>
        <w:ind w:left="402" w:leftChars="0" w:firstLineChars="0"/>
        <w:jc w:val="left"/>
        <w:rPr>
          <w:rFonts w:hint="eastAsia"/>
          <w:lang w:val="en-US" w:eastAsia="zh-CN"/>
        </w:rPr>
        <w:spacing w:line="240" w:lineRule="auto" w:beforeLines="25" w:after="0"/>
      </w:pPr>
      <w:r>
        <w:rPr>
          <w:rFonts w:ascii="宋体" w:hAnsi="宋体" w:eastAsia="宋体" w:cs="宋体"/>
          <w:b w:val="0"/>
          <w:color w:val="000000"/>
          <w:sz w:val="24"/>
        </w:rPr>
        <w:t>3.不同停留时长对阅读配套偏好的差异检验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24  停留时长阅读配套偏好差异检验表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1"/>
        <w:gridCol w:w="1162"/>
        <w:gridCol w:w="678"/>
        <w:gridCol w:w="2131"/>
        <w:gridCol w:w="1417"/>
      </w:tblGrid>
      <w:tr w14:paraId="530C65A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313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9DEC90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116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161F98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测算值</w:t>
            </w:r>
          </w:p>
        </w:tc>
        <w:tc>
          <w:tcPr>
            <w:tcW w:w="67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AC67A0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自由度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A71EC4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显著性</w:t>
            </w:r>
          </w:p>
        </w:tc>
        <w:tc>
          <w:tcPr>
            <w:tcW w:w="141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FBE0FD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1A4E479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13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8F9312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借阅转化率</w:t>
            </w:r>
          </w:p>
        </w:tc>
        <w:tc>
          <w:tcPr>
            <w:tcW w:w="1162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27742B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17.1</w:t>
            </w:r>
          </w:p>
        </w:tc>
        <w:tc>
          <w:tcPr>
            <w:tcW w:w="678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23161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13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3E614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0.006</w:t>
            </w:r>
          </w:p>
        </w:tc>
        <w:tc>
          <w:tcPr>
            <w:tcW w:w="1416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28FF8A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差异可用于排班优化</w:t>
            </w:r>
          </w:p>
        </w:tc>
      </w:tr>
      <w:tr w14:paraId="6E658B19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618B3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237284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24.1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0D953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5DADA6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0.007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05BBCB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结果保持稳定</w:t>
            </w:r>
          </w:p>
        </w:tc>
      </w:tr>
      <w:tr w14:paraId="19B91C0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13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1DA8805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读者满意度</w:t>
            </w:r>
          </w:p>
        </w:tc>
        <w:tc>
          <w:tcPr>
            <w:tcW w:w="116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DB82128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31.1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3296134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6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CF35E63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cs="宋体" w:eastAsiaTheme="minorEastAsia"/>
                <w:b w:val="0"/>
                <w:bCs w:val="0"/>
                <w:kern w:val="2"/>
                <w:sz w:val="24"/>
                <w:szCs w:val="24"/>
                <w:lang w:eastAsia="zh-CN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0.00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FE278AD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差异可用于排班优化</w:t>
            </w:r>
          </w:p>
        </w:tc>
      </w:tr>
    </w:tbl>
    <w:p w14:paraId="27156600">
      <w:pPr>
        <w:pStyle w:val="8"/>
        <w:keepNext/>
        <w:keepLines/>
        <w:widowControl w:val="0"/>
        <w:suppressLineNumbers w:val="0"/>
        <w:spacing w:beforeLines="0" w:beforeAutospacing="0" w:after="0" w:afterAutospacing="1" w:line="240" w:lineRule="auto"/>
        <w:ind w:left="0" w:leftChars="0" w:right="0" w:firstLineChars="0"/>
        <w:contextualSpacing/>
        <w:jc w:val="center"/>
        <w:rPr>
          <w:rFonts w:hint="eastAsia" w:ascii="宋体" w:hAnsi="宋体" w:eastAsia="宋体" w:cs="宋体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257800" cy="3067050"/>
            <wp:effectExtent l="0" t="0" r="0" b="11430"/>
            <wp:docPr id="31" name="图片 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 descr="IMG_25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29  公共书房空间动线示意图</w:t>
      </w:r>
    </w:p>
    <w:p w14:paraId="690486B8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 本轮记录覆盖35个服务节点、9类核心场景，阶段满意度约为90%，一般问题在9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物资管理采用低库存、快补给原则。常用耗材按周盘点，活动材料按场次核销，设备维修按紧急程度分为即时处理、三日内处理和月度集中处理三类。这样既能减少浪费，也能避免因缺少小物件影响活动执行。本方案围绕公共书房的连续开放、活动排期、读者服务和空间维护展开。</w:t>
      </w:r>
    </w:p>
    <w:p w14:paraId="581E7945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本轮记录覆盖42个服务节点、2类核心场景，阶段满意度约为65%，一般问题在10天内完成闭环。</w:t>
      </w:r>
    </w:p>
    <w:p w14:paraId="415B7AF1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 本轮记录覆盖49个服务节点、3类核心场景，阶段满意度约为68%，一般问题在11天内完成闭环。</w:t>
      </w:r>
    </w:p>
    <w:p w14:paraId="3BF85784">
      <w:pPr>
        <w:pStyle w:val="4"/>
        <w:keepNext/>
        <w:keepLines/>
        <w:pageBreakBefore w:val="0"/>
        <w:numPr>
          <w:ilvl w:val="0"/>
          <w:numId w:val="0"/>
        </w:numPr>
        <w:bidi w:val="0"/>
        <w:ind w:left="402" w:leftChars="0" w:firstLineChars="0"/>
        <w:jc w:val="left"/>
        <w:rPr>
          <w:rFonts w:hint="eastAsia"/>
          <w:lang w:val="en-US" w:eastAsia="zh-CN"/>
        </w:rPr>
        <w:spacing w:line="240" w:lineRule="auto" w:beforeLines="25" w:after="0"/>
      </w:pPr>
      <w:r>
        <w:rPr>
          <w:rFonts w:ascii="宋体" w:hAnsi="宋体" w:eastAsia="宋体" w:cs="宋体"/>
          <w:b w:val="0"/>
          <w:color w:val="000000"/>
          <w:sz w:val="24"/>
        </w:rPr>
        <w:t>4.不同居住距离对夜间开放偏好的差异检验</w:t>
      </w:r>
    </w:p>
    <w:p>
      <w:pPr>
        <w:pStyle w:val="7"/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表 25  居住距离夜间开放偏好差异检验表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5"/>
        <w:gridCol w:w="1169"/>
        <w:gridCol w:w="601"/>
        <w:gridCol w:w="2156"/>
        <w:gridCol w:w="1448"/>
      </w:tblGrid>
      <w:tr w14:paraId="0F29D3A6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  <w:cantSplit/>
          <w:tblHeader/>
        </w:trPr>
        <w:tc>
          <w:tcPr>
            <w:tcW w:w="314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B9298EB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1169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B0E166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测算值</w:t>
            </w:r>
          </w:p>
        </w:tc>
        <w:tc>
          <w:tcPr>
            <w:tcW w:w="60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D782A3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自由度</w:t>
            </w:r>
          </w:p>
        </w:tc>
        <w:tc>
          <w:tcPr>
            <w:tcW w:w="215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22181C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显著性</w:t>
            </w:r>
          </w:p>
        </w:tc>
        <w:tc>
          <w:tcPr>
            <w:tcW w:w="144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4378FEE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945A96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146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A2E539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169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4327D3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19.1</w:t>
            </w:r>
          </w:p>
        </w:tc>
        <w:tc>
          <w:tcPr>
            <w:tcW w:w="60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AE0767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156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7BD61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0.005</w:t>
            </w:r>
          </w:p>
        </w:tc>
        <w:tc>
          <w:tcPr>
            <w:tcW w:w="1448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719305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差异可用于排班优化</w:t>
            </w:r>
          </w:p>
        </w:tc>
      </w:tr>
      <w:tr w14:paraId="72BFA1B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26B3CC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读者满意度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A8A610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26.1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D95901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59C55A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0.006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32892D">
            <w:pPr>
              <w:pStyle w:val="8"/>
              <w:keepNext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结果保持稳定</w:t>
            </w:r>
          </w:p>
        </w:tc>
      </w:tr>
      <w:tr w14:paraId="1749E850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14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35B13A3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预约履约率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DE99EC5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"/>
              </w:rPr>
              <w:t>33.1</w:t>
            </w:r>
          </w:p>
        </w:tc>
        <w:tc>
          <w:tcPr>
            <w:tcW w:w="60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5A69176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6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47B51E9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0.007</w:t>
            </w:r>
          </w:p>
        </w:tc>
        <w:tc>
          <w:tcPr>
            <w:tcW w:w="144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FCC2893">
            <w:pPr>
              <w:pStyle w:val="8"/>
              <w:keepNext w:val="0"/>
              <w:keepLines/>
              <w:widowControl w:val="0"/>
              <w:suppressLineNumbers w:val="0"/>
              <w:snapToGrid w:val="0"/>
              <w:spacing w:beforeLines="0" w:beforeAutospacing="0" w:after="0" w:afterAutospacing="1" w:line="240" w:lineRule="auto"/>
              <w:ind w:left="0" w:leftChars="0" w:right="0" w:rightChars="0" w:firstLineChars="0"/>
              <w:contextualSpacing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numPr>
                <w:ilvl w:val="0"/>
                <w:numId w:val="0"/>
              </w:numPr>
            </w:pPr>
            <w:r>
              <w:rPr>
                <w:rFonts w:hint="default" w:ascii="宋体" w:hAnsi="宋体" w:eastAsia="宋体" w:cs="宋体"/>
                <w:color w:val="000000"/>
                <w:sz w:val="24"/>
              </w:rPr>
              <w:t>差异可用于排班优化</w:t>
            </w:r>
          </w:p>
        </w:tc>
      </w:tr>
    </w:tbl>
    <w:p w14:paraId="624A2B5B">
      <w:pPr>
        <w:keepNext/>
        <w:keepLines/>
        <w:widowControl w:val="0"/>
        <w:suppressLineNumbers w:val="0"/>
        <w:spacing w:beforeLines="0" w:beforeAutospacing="0" w:after="0" w:afterAutospacing="1" w:line="240" w:lineRule="auto"/>
        <w:ind w:left="0" w:right="0" w:firstLineChars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numPr>
          <w:ilvl w:val="0"/>
          <w:numId w:val="0"/>
        </w:num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0" distR="0">
            <wp:extent cx="4277995" cy="2400300"/>
            <wp:effectExtent l="0" t="0" r="8255" b="0"/>
            <wp:docPr id="39" name="图片 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8" descr="IMG_26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30  公共书房客流趋势图（落地计划）</w:t>
      </w:r>
    </w:p>
    <w:p>
      <w:pPr>
        <w:jc w:val="center"/>
        <w:keepNext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0" distR="0">
            <wp:extent cx="4282440" cy="2089150"/>
            <wp:effectExtent l="0" t="0" r="3810" b="6350"/>
            <wp:docPr id="32" name="图片 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 descr="IMG_26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089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jc w:val="center"/>
        <w:keepLines/>
        <w:spacing w:line="240" w:lineRule="auto" w:beforeLines="0" w:after="0"/>
        <w:ind w:firstLineChars="0"/>
        <w:numPr>
          <w:ilvl w:val="0"/>
          <w:numId w:val="0"/>
        </w:numPr>
      </w:pPr>
      <w:r>
        <w:rPr>
          <w:rFonts w:ascii="宋体" w:hAnsi="宋体" w:eastAsia="宋体" w:cs="宋体"/>
          <w:b w:val="0"/>
          <w:color w:val="000000"/>
          <w:sz w:val="24"/>
        </w:rPr>
        <w:t>图 31  公共书房阅读服务看板（落地计划）</w:t>
      </w:r>
    </w:p>
    <w:p w14:paraId="0D040869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本轮记录覆盖56个服务节点、4类核心场景，阶段满意度约为71%，一般问题在12天内完成闭环。运营团队将每日开闭馆、借阅登记、场地巡检、活动签到、物资补充和意见反馈纳入同一张工作清单。</w:t>
      </w:r>
    </w:p>
    <w:p w14:paraId="2E77E576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本轮记录覆盖63个服务节点、5类核心场景，阶段满意度约为74%，一般问题在13天内完成闭环。志愿者参与以轻任务为主，包括书架整理、活动引导、亲子阅读陪伴、旧书交换登记和社区故事收集。</w:t>
      </w:r>
    </w:p>
    <w:p w14:paraId="1233930D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本轮记录覆盖70个服务节点、6类核心场景，阶段满意度约为77%，一般问题在14天内完成闭环。</w:t>
      </w:r>
    </w:p>
    <w:p w14:paraId="797FD040">
      <w:pPr>
        <w:pStyle w:val="2"/>
        <w:keepNext/>
        <w:keepLines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Lines="50" w:beforeAutospacing="0" w:line="240" w:lineRule="auto" w:after="0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ind w:firstLineChars="0"/>
      </w:pPr>
      <w:r>
        <w:rPr>
          <w:rFonts w:ascii="黑体" w:hAnsi="黑体" w:eastAsia="黑体" w:cs="黑体"/>
          <w:b/>
          <w:color w:val="000000"/>
          <w:sz w:val="30"/>
        </w:rPr>
        <w:t>七、结语与行动清单</w:t>
      </w:r>
    </w:p>
    <w:p w14:paraId="603FB632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0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 xml:space="preserve"> 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77个服务节点、7类核心场景，阶段满意度约为80%，一般问题在15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</w:t>
      </w:r>
    </w:p>
    <w:p w14:paraId="0EC2AB25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本轮记录覆盖20个服务节点、8类核心场景，阶段满意度约为83%，一般问题在16天内完成闭环。</w:t>
      </w:r>
    </w:p>
    <w:p w14:paraId="6F0DA0FF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本轮记录覆盖27个服务节点、9类核心场景，阶段满意度约为86%，一般问题在17天内完成闭环。</w:t>
      </w:r>
    </w:p>
    <w:p w14:paraId="405B7345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本轮记录覆盖34个服务节点、2类核心场景，阶段满意度约为89%，一般问题在7天内完成闭环。</w:t>
      </w:r>
    </w:p>
    <w:p w14:paraId="0D3EA6E0">
      <w:pPr>
        <w:keepNext w:val="0"/>
        <w:keepLines w:val="0"/>
        <w:pageBreakBefore w:val="0"/>
        <w:widowControl w:val="0"/>
        <w:suppressLineNumbers w:val="0"/>
        <w:spacing w:beforeLines="50" w:beforeAutospacing="0" w:after="0" w:afterAutospacing="1" w:line="300" w:lineRule="auto"/>
        <w:ind w:left="0" w:right="0" w:firstLineChars="200"/>
        <w:jc w:val="both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numPr>
          <w:ilvl w:val="0"/>
          <w:numId w:val="0"/>
        </w:num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 本轮记录覆盖41个服务节点、3类核心场景，阶段满意度约为92%，一般问题在8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活动设计应避免单纯追求数量，重点关注读者是否愿意再次参加、是否产生持续阅读行为、是否带动家庭成员共同使用空间。</w:t>
      </w:r>
    </w:p>
    <w:p w14:paraId="296F3E7A">
      <w:pPr>
        <w:jc w:val="left"/>
        <w:keepNext w:val="0"/>
        <w:keepLines w:val="0"/>
        <w:spacing w:line="240" w:lineRule="auto" w:beforeLines="0" w:after="0"/>
        <w:ind w:firstLineChars="0"/>
        <w:numPr>
          <w:ilvl w:val="0"/>
          <w:numId w:val="0"/>
        </w:numPr>
      </w:pPr>
    </w:p>
    <w:sectPr>
      <w:pgSz w:w="11906" w:h="16838"/>
      <w:pgMar w:top="1440" w:right="1803" w:bottom="1440" w:left="180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旗黑-55简">
    <w:altName w:val="黑体"/>
    <w:panose1 w:val="00020600040101010101"/>
    <w:charset w:val="8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ABD1C"/>
    <w:multiLevelType w:val="singleLevel"/>
    <w:tmpl w:val="8AFABD1C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7E00573"/>
    <w:multiLevelType w:val="multilevel"/>
    <w:tmpl w:val="17E0057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-2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default" w:ascii="宋体" w:hAnsi="宋体" w:eastAsia="宋体" w:cs="宋体"/>
        <w:b w:val="0"/>
        <w:bCs w:val="0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85380C"/>
    <w:rsid w:val="00FB0136"/>
    <w:rsid w:val="059F029C"/>
    <w:rsid w:val="071B317C"/>
    <w:rsid w:val="0E85380C"/>
    <w:rsid w:val="11967974"/>
    <w:rsid w:val="14127A7E"/>
    <w:rsid w:val="18D9791A"/>
    <w:rsid w:val="219B5822"/>
    <w:rsid w:val="232F19D7"/>
    <w:rsid w:val="25A14E4D"/>
    <w:rsid w:val="25FC0808"/>
    <w:rsid w:val="2C92725E"/>
    <w:rsid w:val="336C5C3A"/>
    <w:rsid w:val="49B27E76"/>
    <w:rsid w:val="4CC36B68"/>
    <w:rsid w:val="4EB54731"/>
    <w:rsid w:val="4F8050FF"/>
    <w:rsid w:val="55D27B43"/>
    <w:rsid w:val="5DA404B8"/>
    <w:rsid w:val="65A45D9F"/>
    <w:rsid w:val="65B16963"/>
    <w:rsid w:val="693D54D2"/>
    <w:rsid w:val="6B0420A3"/>
    <w:rsid w:val="6D5238C5"/>
    <w:rsid w:val="7D944F65"/>
    <w:rsid w:val="7F65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numPr>
        <w:ilvl w:val="0"/>
        <w:numId w:val="1"/>
      </w:numPr>
      <w:tabs>
        <w:tab w:val="right" w:leader="dot" w:pos="9070"/>
      </w:tabs>
      <w:spacing w:beforeLines="50" w:after="0" w:line="300" w:lineRule="auto"/>
      <w:ind w:firstLine="0" w:firstLineChars="0"/>
      <w:jc w:val="center"/>
      <w:outlineLvl w:val="0"/>
    </w:pPr>
    <w:rPr>
      <w:rFonts w:ascii="Times New Roman" w:hAnsi="Times New Roman" w:eastAsia="黑体" w:cs="Times New Roman"/>
      <w:b/>
      <w:bCs/>
      <w:sz w:val="30"/>
      <w:szCs w:val="30"/>
      <w:lang w:val="zh-CN"/>
    </w:rPr>
  </w:style>
  <w:style w:type="paragraph" w:styleId="3">
    <w:name w:val="heading 2"/>
    <w:basedOn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numPr>
        <w:ilvl w:val="2"/>
        <w:numId w:val="1"/>
      </w:numPr>
      <w:tabs>
        <w:tab w:val="right" w:leader="dot" w:pos="9070"/>
      </w:tabs>
      <w:spacing w:beforeLines="50" w:after="0" w:line="300" w:lineRule="auto"/>
      <w:ind w:left="0" w:firstLine="400" w:firstLineChars="0"/>
      <w:jc w:val="left"/>
      <w:outlineLvl w:val="2"/>
    </w:pPr>
    <w:rPr>
      <w:rFonts w:ascii="Times New Roman" w:hAnsi="Times New Roman" w:eastAsia="宋体" w:cs="Times New Roman"/>
      <w:b/>
      <w:bCs/>
      <w:sz w:val="24"/>
      <w:szCs w:val="24"/>
      <w:lang w:val="zh-CN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Lines="50" w:after="0" w:line="300" w:lineRule="auto"/>
      <w:ind w:firstLine="402" w:firstLineChars="0"/>
      <w:outlineLvl w:val="3"/>
    </w:pPr>
    <w:rPr>
      <w:rFonts w:ascii="Times New Roman" w:hAnsi="Times New Roman" w:eastAsia="宋体" w:cs="Times New Roman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paragraph" w:styleId="14">
    <w:name w:val="List Paragraph"/>
    <w:basedOn w:val="1"/>
    <w:unhideWhenUsed/>
    <w:qFormat/>
    <w:uiPriority w:val="34"/>
    <w:pPr>
      <w:ind w:firstLine="420" w:firstLineChars="200"/>
    </w:pPr>
  </w:style>
  <w:style w:type="table" w:customStyle="1" w:styleId="15">
    <w:name w:val="三线表有内线"/>
    <w:basedOn w:val="9"/>
    <w:qFormat/>
    <w:uiPriority w:val="99"/>
    <w:pPr>
      <w:jc w:val="center"/>
    </w:pPr>
    <w:tblPr>
      <w:jc w:val="center"/>
      <w:tblBorders>
        <w:bottom w:val="single" w:color="auto" w:sz="12" w:space="0"/>
        <w:insideH w:val="single" w:color="auto" w:sz="4" w:space="0"/>
        <w:insideV w:val="single" w:color="auto" w:sz="4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6">
    <w:name w:val="15"/>
    <w:basedOn w:val="11"/>
    <w:qFormat/>
    <w:uiPriority w:val="0"/>
    <w:rPr>
      <w:rFonts w:hint="eastAsia" w:ascii="等线" w:hAnsi="等线" w:eastAsia="等线" w:cs="等线"/>
      <w:sz w:val="21"/>
      <w:szCs w:val="21"/>
    </w:rPr>
  </w:style>
  <w:style w:type="character" w:customStyle="1" w:styleId="17">
    <w:name w:val="10"/>
    <w:basedOn w:val="11"/>
    <w:qFormat/>
    <w:uiPriority w:val="0"/>
    <w:rPr>
      <w:rFonts w:hint="eastAsia" w:ascii="等线" w:hAnsi="等线" w:eastAsia="等线" w:cs="等线"/>
    </w:rPr>
  </w:style>
  <w:style w:type="character" w:customStyle="1" w:styleId="18">
    <w:name w:val="16"/>
    <w:basedOn w:val="11"/>
    <w:qFormat/>
    <w:uiPriority w:val="0"/>
    <w:rPr>
      <w:rFonts w:hint="eastAsia" w:ascii="等线" w:hAnsi="等线" w:eastAsia="等线" w:cs="等线"/>
      <w:b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hart" Target="charts/chart3.xml"/><Relationship Id="rId8" Type="http://schemas.openxmlformats.org/officeDocument/2006/relationships/chart" Target="charts/chart2.xml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chart" Target="charts/chart1.xml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16.jpeg"/><Relationship Id="rId37" Type="http://schemas.openxmlformats.org/officeDocument/2006/relationships/image" Target="media/image15.jpeg"/><Relationship Id="rId36" Type="http://schemas.openxmlformats.org/officeDocument/2006/relationships/image" Target="media/image14.jpeg"/><Relationship Id="rId35" Type="http://schemas.openxmlformats.org/officeDocument/2006/relationships/image" Target="media/image13.jpeg"/><Relationship Id="rId34" Type="http://schemas.openxmlformats.org/officeDocument/2006/relationships/image" Target="media/image12.jpeg"/><Relationship Id="rId33" Type="http://schemas.openxmlformats.org/officeDocument/2006/relationships/image" Target="media/image11.jpeg"/><Relationship Id="rId32" Type="http://schemas.openxmlformats.org/officeDocument/2006/relationships/image" Target="media/image10.jpeg"/><Relationship Id="rId31" Type="http://schemas.openxmlformats.org/officeDocument/2006/relationships/image" Target="media/image9.png"/><Relationship Id="rId30" Type="http://www.wps.cn/officeDocument/2018/webExtension" Target="webExtensions/webExtension1.xml"/><Relationship Id="rId3" Type="http://schemas.openxmlformats.org/officeDocument/2006/relationships/theme" Target="theme/theme1.xml"/><Relationship Id="rId29" Type="http://schemas.openxmlformats.org/officeDocument/2006/relationships/chart" Target="charts/chart18.xml"/><Relationship Id="rId28" Type="http://schemas.openxmlformats.org/officeDocument/2006/relationships/chart" Target="charts/chart17.xml"/><Relationship Id="rId27" Type="http://schemas.openxmlformats.org/officeDocument/2006/relationships/chart" Target="charts/chart16.xml"/><Relationship Id="rId26" Type="http://schemas.openxmlformats.org/officeDocument/2006/relationships/chart" Target="charts/chart15.xml"/><Relationship Id="rId25" Type="http://schemas.openxmlformats.org/officeDocument/2006/relationships/chart" Target="charts/chart14.xml"/><Relationship Id="rId24" Type="http://schemas.openxmlformats.org/officeDocument/2006/relationships/chart" Target="charts/chart13.xml"/><Relationship Id="rId23" Type="http://schemas.openxmlformats.org/officeDocument/2006/relationships/chart" Target="charts/chart12.xml"/><Relationship Id="rId22" Type="http://schemas.openxmlformats.org/officeDocument/2006/relationships/chart" Target="charts/chart11.xml"/><Relationship Id="rId21" Type="http://schemas.openxmlformats.org/officeDocument/2006/relationships/chart" Target="charts/chart10.xml"/><Relationship Id="rId20" Type="http://schemas.openxmlformats.org/officeDocument/2006/relationships/chart" Target="charts/chart9.xml"/><Relationship Id="rId2" Type="http://schemas.openxmlformats.org/officeDocument/2006/relationships/settings" Target="settings.xml"/><Relationship Id="rId19" Type="http://schemas.openxmlformats.org/officeDocument/2006/relationships/chart" Target="charts/chart8.xml"/><Relationship Id="rId18" Type="http://schemas.openxmlformats.org/officeDocument/2006/relationships/chart" Target="charts/chart7.xml"/><Relationship Id="rId17" Type="http://schemas.openxmlformats.org/officeDocument/2006/relationships/chart" Target="charts/chart6.xml"/><Relationship Id="rId16" Type="http://schemas.openxmlformats.org/officeDocument/2006/relationships/image" Target="media/image8.png"/><Relationship Id="rId15" Type="http://schemas.openxmlformats.org/officeDocument/2006/relationships/image" Target="media/image7.jpeg"/><Relationship Id="rId14" Type="http://schemas.openxmlformats.org/officeDocument/2006/relationships/image" Target="media/image6.jpe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chart" Target="charts/chart5.xml"/><Relationship Id="rId10" Type="http://schemas.openxmlformats.org/officeDocument/2006/relationships/chart" Target="charts/chart4.xml"/><Relationship Id="rId1" Type="http://schemas.openxmlformats.org/officeDocument/2006/relationships/styles" Target="styles.xml"/></Relationships>
</file>

<file path=word/charts/_rels/chart1.xml.rels><?xml version='1.0' encoding='UTF-8' standalone='yes'?>
<Relationships xmlns="http://schemas.openxmlformats.org/package/2006/relationships"><Relationship Id="rId6" Type="http://schemas.microsoft.com/office/2011/relationships/chartColorStyle" Target="colors1.xml"/><Relationship Id="rId5" Type="http://schemas.microsoft.com/office/2011/relationships/chartStyle" Target="style1.xml"/><Relationship Id="rId4" Type="http://schemas.openxmlformats.org/officeDocument/2006/relationships/image" Target="../media/image18.png"/><Relationship Id="rId3" Type="http://schemas.openxmlformats.org/officeDocument/2006/relationships/image" Target="../media/image17.png"/><Relationship Id="rId2" Type="http://schemas.openxmlformats.org/officeDocument/2006/relationships/themeOverride" Target="../theme/themeOverride1.xml"/><Relationship Id="rId1" Type="http://schemas.openxmlformats.org/officeDocument/2006/relationships/oleObject" Target="NULL" TargetMode="External"/></Relationships>
</file>

<file path=word/charts/_rels/chart2.xml.rels><?xml version='1.0' encoding='UTF-8' standalone='yes'?>
<Relationships xmlns="http://schemas.openxmlformats.org/package/2006/relationships"><Relationship Id="rId5" Type="http://schemas.microsoft.com/office/2011/relationships/chartColorStyle" Target="colors3.xml"/><Relationship Id="rId4" Type="http://schemas.microsoft.com/office/2011/relationships/chartStyle" Target="style3.xml"/><Relationship Id="rId3" Type="http://schemas.openxmlformats.org/officeDocument/2006/relationships/image" Target="../media/image20.png"/><Relationship Id="rId2" Type="http://schemas.openxmlformats.org/officeDocument/2006/relationships/themeOverride" Target="../theme/themeOverride3.xml"/><Relationship Id="rId1" Type="http://schemas.openxmlformats.org/officeDocument/2006/relationships/oleObject" Target="NULL" TargetMode="External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oleObject" Target="NULL" TargetMode="External"/></Relationships>
</file>

<file path=word/charts/_rels/chart4.xml.rels><?xml version='1.0' encoding='UTF-8' standalone='yes'?>
<Relationships xmlns="http://schemas.openxmlformats.org/package/2006/relationships"><Relationship Id="rId4" Type="http://schemas.microsoft.com/office/2011/relationships/chartColorStyle" Target="colors5.xml"/><Relationship Id="rId3" Type="http://schemas.microsoft.com/office/2011/relationships/chartStyle" Target="style5.xml"/><Relationship Id="rId2" Type="http://schemas.openxmlformats.org/officeDocument/2006/relationships/themeOverride" Target="../theme/themeOverride4.xml"/><Relationship Id="rId1" Type="http://schemas.openxmlformats.org/officeDocument/2006/relationships/oleObject" Target="NULL" TargetMode="External"/></Relationships>
</file>

<file path=word/charts/_rels/chart5.xml.rels><?xml version='1.0' encoding='UTF-8' standalone='yes'?>
<Relationships xmlns="http://schemas.openxmlformats.org/package/2006/relationships"><Relationship Id="rId5" Type="http://schemas.microsoft.com/office/2011/relationships/chartColorStyle" Target="colors2.xml"/><Relationship Id="rId4" Type="http://schemas.microsoft.com/office/2011/relationships/chartStyle" Target="style2.xml"/><Relationship Id="rId3" Type="http://schemas.openxmlformats.org/officeDocument/2006/relationships/image" Target="../media/image19.png"/><Relationship Id="rId2" Type="http://schemas.openxmlformats.org/officeDocument/2006/relationships/themeOverride" Target="../theme/themeOverride2.xml"/><Relationship Id="rId1" Type="http://schemas.openxmlformats.org/officeDocument/2006/relationships/oleObject" Target="NULL" TargetMode="External"/></Relationships>
</file>

<file path=word/charts/_rels/chart6.xml.rels><?xml version='1.0' encoding='UTF-8' standalone='yes'?>
<Relationships xmlns="http://schemas.openxmlformats.org/package/2006/relationships"><Relationship Id="rId4" Type="http://schemas.microsoft.com/office/2011/relationships/chartColorStyle" Target="colors8.xml"/><Relationship Id="rId3" Type="http://schemas.microsoft.com/office/2011/relationships/chartStyle" Target="style8.xml"/><Relationship Id="rId2" Type="http://schemas.openxmlformats.org/officeDocument/2006/relationships/themeOverride" Target="../theme/themeOverride6.xml"/><Relationship Id="rId1" Type="http://schemas.openxmlformats.org/officeDocument/2006/relationships/oleObject" Target="NULL" TargetMode="External"/></Relationships>
</file>

<file path=word/charts/_rels/chart7.xml.rels><?xml version='1.0' encoding='UTF-8' standalone='yes'?>
<Relationships xmlns="http://schemas.openxmlformats.org/package/2006/relationships"><Relationship Id="rId3" Type="http://schemas.microsoft.com/office/2011/relationships/chartColorStyle" Target="colors6.xml"/><Relationship Id="rId2" Type="http://schemas.microsoft.com/office/2011/relationships/chartStyle" Target="style6.xml"/><Relationship Id="rId1" Type="http://schemas.openxmlformats.org/officeDocument/2006/relationships/package" Target="../embeddings/Workbook1.xlsx"/></Relationships>
</file>

<file path=word/charts/_rels/chart8.xml.rels><?xml version='1.0' encoding='UTF-8' standalone='yes'?>
<Relationships xmlns="http://schemas.openxmlformats.org/package/2006/relationships"><Relationship Id="rId4" Type="http://schemas.microsoft.com/office/2011/relationships/chartColorStyle" Target="colors7.xml"/><Relationship Id="rId3" Type="http://schemas.microsoft.com/office/2011/relationships/chartStyle" Target="style7.xml"/><Relationship Id="rId2" Type="http://schemas.openxmlformats.org/officeDocument/2006/relationships/themeOverride" Target="../theme/themeOverride5.xml"/><Relationship Id="rId1" Type="http://schemas.openxmlformats.org/officeDocument/2006/relationships/oleObject" Target="NULL" TargetMode="External"/></Relationships>
</file>

<file path=word/charts/_rels/chart9.xml.rels><?xml version='1.0' encoding='UTF-8' standalone='yes'?>
<Relationships xmlns="http://schemas.openxmlformats.org/package/2006/relationships"><Relationship Id="rId5" Type="http://schemas.microsoft.com/office/2011/relationships/chartColorStyle" Target="colors9.xml"/><Relationship Id="rId4" Type="http://schemas.microsoft.com/office/2011/relationships/chartStyle" Target="style9.xml"/><Relationship Id="rId3" Type="http://schemas.openxmlformats.org/officeDocument/2006/relationships/image" Target="../media/image21.png"/><Relationship Id="rId2" Type="http://schemas.openxmlformats.org/officeDocument/2006/relationships/themeOverride" Target="../theme/themeOverride7.xml"/><Relationship Id="rId1" Type="http://schemas.openxmlformats.org/officeDocument/2006/relationships/package" Target="../embeddings/Workbook2.xlsx"/></Relationships>
</file>

<file path=word/charts/_rels/chart10.xml.rels><?xml version='1.0' encoding='UTF-8' standalone='yes'?>
<Relationships xmlns="http://schemas.openxmlformats.org/package/2006/relationships"><Relationship Id="rId4" Type="http://schemas.microsoft.com/office/2011/relationships/chartColorStyle" Target="colors10.xml"/><Relationship Id="rId3" Type="http://schemas.microsoft.com/office/2011/relationships/chartStyle" Target="style10.xml"/><Relationship Id="rId2" Type="http://schemas.openxmlformats.org/officeDocument/2006/relationships/themeOverride" Target="../theme/themeOverride8.xml"/><Relationship Id="rId1" Type="http://schemas.openxmlformats.org/officeDocument/2006/relationships/package" Target="../embeddings/Workbook3.xlsx"/></Relationships>
</file>

<file path=word/charts/_rels/chart11.xml.rels><?xml version='1.0' encoding='UTF-8' standalone='yes'?>
<Relationships xmlns="http://schemas.openxmlformats.org/package/2006/relationships"><Relationship Id="rId5" Type="http://schemas.microsoft.com/office/2011/relationships/chartColorStyle" Target="colors11.xml"/><Relationship Id="rId4" Type="http://schemas.microsoft.com/office/2011/relationships/chartStyle" Target="style11.xml"/><Relationship Id="rId3" Type="http://schemas.openxmlformats.org/officeDocument/2006/relationships/image" Target="../media/image22.png"/><Relationship Id="rId2" Type="http://schemas.openxmlformats.org/officeDocument/2006/relationships/themeOverride" Target="../theme/themeOverride9.xml"/><Relationship Id="rId1" Type="http://schemas.openxmlformats.org/officeDocument/2006/relationships/package" Target="../embeddings/Workbook4.xlsx"/></Relationships>
</file>

<file path=word/charts/_rels/chart12.xml.rels><?xml version='1.0' encoding='UTF-8' standalone='yes'?>
<Relationships xmlns="http://schemas.openxmlformats.org/package/2006/relationships"><Relationship Id="rId4" Type="http://schemas.microsoft.com/office/2011/relationships/chartColorStyle" Target="colors12.xml"/><Relationship Id="rId3" Type="http://schemas.microsoft.com/office/2011/relationships/chartStyle" Target="style12.xml"/><Relationship Id="rId2" Type="http://schemas.openxmlformats.org/officeDocument/2006/relationships/themeOverride" Target="../theme/themeOverride10.xml"/><Relationship Id="rId1" Type="http://schemas.openxmlformats.org/officeDocument/2006/relationships/package" Target="../embeddings/Workbook5.xlsx"/></Relationships>
</file>

<file path=word/charts/_rels/chart13.xml.rels><?xml version='1.0' encoding='UTF-8' standalone='yes'?>
<Relationships xmlns="http://schemas.openxmlformats.org/package/2006/relationships"><Relationship Id="rId4" Type="http://schemas.microsoft.com/office/2011/relationships/chartColorStyle" Target="colors13.xml"/><Relationship Id="rId3" Type="http://schemas.microsoft.com/office/2011/relationships/chartStyle" Target="style13.xml"/><Relationship Id="rId2" Type="http://schemas.openxmlformats.org/officeDocument/2006/relationships/themeOverride" Target="../theme/themeOverride11.xml"/><Relationship Id="rId1" Type="http://schemas.openxmlformats.org/officeDocument/2006/relationships/oleObject" Target="NULL" TargetMode="External"/></Relationships>
</file>

<file path=word/charts/_rels/chart14.xml.rels><?xml version='1.0' encoding='UTF-8' standalone='yes'?>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NULL" TargetMode="External"/></Relationships>
</file>

<file path=word/charts/_rels/chart15.xml.rels><?xml version='1.0' encoding='UTF-8' standalone='yes'?>
<Relationships xmlns="http://schemas.openxmlformats.org/package/2006/relationships"><Relationship Id="rId5" Type="http://schemas.microsoft.com/office/2011/relationships/chartColorStyle" Target="colors15.xml"/><Relationship Id="rId4" Type="http://schemas.microsoft.com/office/2011/relationships/chartStyle" Target="style15.xml"/><Relationship Id="rId3" Type="http://schemas.openxmlformats.org/officeDocument/2006/relationships/image" Target="../media/image24.png"/><Relationship Id="rId2" Type="http://schemas.openxmlformats.org/officeDocument/2006/relationships/themeOverride" Target="../theme/themeOverride13.xml"/><Relationship Id="rId1" Type="http://schemas.openxmlformats.org/officeDocument/2006/relationships/oleObject" Target="NULL" TargetMode="External"/></Relationships>
</file>

<file path=word/charts/_rels/chart16.xml.rels><?xml version='1.0' encoding='UTF-8' standalone='yes'?>
<Relationships xmlns="http://schemas.openxmlformats.org/package/2006/relationships"><Relationship Id="rId4" Type="http://schemas.microsoft.com/office/2011/relationships/chartColorStyle" Target="colors17.xml"/><Relationship Id="rId3" Type="http://schemas.microsoft.com/office/2011/relationships/chartStyle" Target="style17.xml"/><Relationship Id="rId2" Type="http://schemas.openxmlformats.org/officeDocument/2006/relationships/themeOverride" Target="../theme/themeOverride15.xml"/><Relationship Id="rId1" Type="http://schemas.openxmlformats.org/officeDocument/2006/relationships/oleObject" Target="NULL" TargetMode="External"/></Relationships>
</file>

<file path=word/charts/_rels/chart17.xml.rels><?xml version='1.0' encoding='UTF-8' standalone='yes'?>
<Relationships xmlns="http://schemas.openxmlformats.org/package/2006/relationships"><Relationship Id="rId5" Type="http://schemas.microsoft.com/office/2011/relationships/chartColorStyle" Target="colors14.xml"/><Relationship Id="rId4" Type="http://schemas.microsoft.com/office/2011/relationships/chartStyle" Target="style14.xml"/><Relationship Id="rId3" Type="http://schemas.openxmlformats.org/officeDocument/2006/relationships/image" Target="../media/image23.png"/><Relationship Id="rId2" Type="http://schemas.openxmlformats.org/officeDocument/2006/relationships/themeOverride" Target="../theme/themeOverride12.xml"/><Relationship Id="rId1" Type="http://schemas.openxmlformats.org/officeDocument/2006/relationships/oleObject" Target="NULL" TargetMode="External"/></Relationships>
</file>

<file path=word/charts/_rels/chart18.xml.rels><?xml version='1.0' encoding='UTF-8' standalone='yes'?>
<Relationships xmlns="http://schemas.openxmlformats.org/package/2006/relationships"><Relationship Id="rId4" Type="http://schemas.microsoft.com/office/2011/relationships/chartColorStyle" Target="colors16.xml"/><Relationship Id="rId3" Type="http://schemas.microsoft.com/office/2011/relationships/chartStyle" Target="style16.xml"/><Relationship Id="rId2" Type="http://schemas.openxmlformats.org/officeDocument/2006/relationships/themeOverride" Target="../theme/themeOverride14.xml"/><Relationship Id="rId1" Type="http://schemas.openxmlformats.org/officeDocument/2006/relationships/oleObject" Target="NULL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0702370923095439"/>
          <c:y val="0.0475319926873857"/>
          <c:w val="0.903285593934288"/>
          <c:h val="0.836243144424132"/>
        </c:manualLayout>
      </c:layout>
      <c:barChart>
        <c:barDir val="col"/>
        <c:grouping val="clustered"/>
        <c:varyColors val="0"/>
        <c:ser>
          <c:idx val="0"/>
          <c:order val="0"/>
          <c:spPr>
            <a:blipFill rotWithShape="1">
              <a:blip xmlns:r="http://schemas.openxmlformats.org/officeDocument/2006/relationships" r:embed="rId3">
                <a:alphaModFix amt="85000"/>
                <a:duotone>
                  <a:schemeClr val="accent1"/>
                  <a:prstClr val="white"/>
                </a:duotone>
              </a:blip>
              <a:stretch>
                <a:fillRect/>
              </a:stretch>
            </a:blipFill>
            <a:ln>
              <a:noFill/>
            </a:ln>
            <a:effectLst/>
          </c:spPr>
          <c:invertIfNegative val="0"/>
          <c:dLbls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{"18及以下","19-25","26-30","31-40","41岁及以上"}</c:f>
              <c:strCache>
                <c:ptCount val="5"/>
                <c:pt idx="0">
                  <c:v>18及以下</c:v>
                </c:pt>
                <c:pt idx="1">
                  <c:v>19-25</c:v>
                </c:pt>
                <c:pt idx="2">
                  <c:v>26-30</c:v>
                </c:pt>
                <c:pt idx="3">
                  <c:v>31-40</c:v>
                </c:pt>
                <c:pt idx="4">
                  <c:v>41岁及以上</c:v>
                </c:pt>
              </c:strCache>
            </c:strRef>
          </c:cat>
          <c:val>
            <c:numRef>
              <c:f>{11,98,176,124,94}</c:f>
              <c:numCache>
                <c:formatCode>General</c:formatCode>
                <c:ptCount val="5"/>
                <c:pt idx="0">
                  <c:v>11</c:v>
                </c:pt>
                <c:pt idx="1">
                  <c:v>98</c:v>
                </c:pt>
                <c:pt idx="2">
                  <c:v>176</c:v>
                </c:pt>
                <c:pt idx="3">
                  <c:v>124</c:v>
                </c:pt>
                <c:pt idx="4">
                  <c:v>94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40"/>
        <c:axId val="588400416"/>
        <c:axId val="585612464"/>
      </c:barChart>
      <c:catAx>
        <c:axId val="588400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44450" cap="flat" cmpd="sng" algn="ctr">
            <a:solidFill>
              <a:schemeClr val="tx1">
                <a:lumMod val="50000"/>
                <a:lumOff val="50000"/>
                <a:alpha val="30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85612464"/>
        <c:crosses val="autoZero"/>
        <c:auto val="1"/>
        <c:lblAlgn val="ctr"/>
        <c:lblOffset val="100"/>
        <c:noMultiLvlLbl val="0"/>
      </c:catAx>
      <c:valAx>
        <c:axId val="58561246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88400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e6c8ed56-5579-4a96-8f7f-8bc7e25cca14}"/>
      </c:ext>
    </c:extLst>
  </c:chart>
  <c:spPr>
    <a:blipFill rotWithShape="1">
      <a:blip xmlns:r="http://schemas.openxmlformats.org/officeDocument/2006/relationships" r:embed="rId4"/>
      <a:stretch>
        <a:fillRect/>
      </a:stretch>
    </a:blipFill>
    <a:ln w="6350" cap="flat" cmpd="sng" algn="ctr">
      <a:noFill/>
      <a:round/>
    </a:ln>
    <a:effectLst/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0559192580469177"/>
          <c:y val="0.0513047324192835"/>
          <c:w val="0.939989088925259"/>
          <c:h val="0.841530296329058"/>
        </c:manualLayout>
      </c:layout>
      <c:barChart>
        <c:barDir val="col"/>
        <c:grouping val="clustered"/>
        <c:varyColors val="0"/>
        <c:ser>
          <c:idx val="0"/>
          <c:order val="0"/>
          <c:spPr>
            <a:blipFill rotWithShape="1">
              <a:blip xmlns:r="http://schemas.openxmlformats.org/officeDocument/2006/relationships" r:embed="rId3">
                <a:alphaModFix amt="86000"/>
                <a:duotone>
                  <a:schemeClr val="accent1"/>
                  <a:prstClr val="white"/>
                </a:duotone>
              </a:blip>
              <a:stretch>
                <a:fillRect l="-7000"/>
              </a:stretch>
            </a:blipFill>
            <a:ln>
              <a:noFill/>
            </a:ln>
            <a:effectLst>
              <a:outerShdw blurRad="76200" dir="18900000" sy="23000" kx="-1200000" algn="bl" rotWithShape="0">
                <a:sysClr val="windowText" lastClr="000000">
                  <a:lumMod val="75000"/>
                  <a:lumOff val="25000"/>
                  <a:alpha val="20000"/>
                </a:sys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汉仪旗黑-55简" panose="00020600040101010101" charset="-128"/>
                    <a:sym typeface="汉仪旗黑-55简" panose="00020600040101010101" charset="-128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{"3个月以内","3-6个月","6-12个月","1-3年","3年以上"}</c:f>
              <c:strCache>
                <c:ptCount val="5"/>
                <c:pt idx="0">
                  <c:v>3个月以内</c:v>
                </c:pt>
                <c:pt idx="1">
                  <c:v>3-6个月</c:v>
                </c:pt>
                <c:pt idx="2">
                  <c:v>6-12个月</c:v>
                </c:pt>
                <c:pt idx="3">
                  <c:v>1-3年</c:v>
                </c:pt>
                <c:pt idx="4">
                  <c:v>3年以上</c:v>
                </c:pt>
              </c:strCache>
            </c:strRef>
          </c:cat>
          <c:val>
            <c:numRef>
              <c:f>{50,123,104,146,80}</c:f>
              <c:numCache>
                <c:formatCode>General</c:formatCode>
                <c:ptCount val="5"/>
                <c:pt idx="0">
                  <c:v>50</c:v>
                </c:pt>
                <c:pt idx="1">
                  <c:v>123</c:v>
                </c:pt>
                <c:pt idx="2">
                  <c:v>104</c:v>
                </c:pt>
                <c:pt idx="3">
                  <c:v>146</c:v>
                </c:pt>
                <c:pt idx="4">
                  <c:v>80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-5"/>
        <c:axId val="588400416"/>
        <c:axId val="585612464"/>
      </c:barChart>
      <c:catAx>
        <c:axId val="58840041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汉仪旗黑-55简" panose="00020600040101010101" charset="-128"/>
                <a:sym typeface="汉仪旗黑-55简" panose="00020600040101010101" charset="-128"/>
              </a:defRPr>
            </a:pPr>
          </a:p>
        </c:txPr>
        <c:crossAx val="585612464"/>
        <c:crosses val="autoZero"/>
        <c:auto val="1"/>
        <c:lblAlgn val="ctr"/>
        <c:lblOffset val="100"/>
        <c:noMultiLvlLbl val="0"/>
      </c:catAx>
      <c:valAx>
        <c:axId val="58561246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汉仪旗黑-55简" panose="00020600040101010101" charset="-128"/>
                <a:sym typeface="汉仪旗黑-55简" panose="00020600040101010101" charset="-128"/>
              </a:defRPr>
            </a:pPr>
          </a:p>
        </c:txPr>
        <c:crossAx val="588400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bb9440c-d4ab-4d9f-badc-64860efabb46}"/>
      </c:ext>
    </c:extLst>
  </c:chart>
  <c:spPr>
    <a:noFill/>
    <a:ln w="6350" cap="flat" cmpd="sng" algn="ctr">
      <a:noFill/>
      <a:round/>
    </a:ln>
    <a:effectLst/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汉仪旗黑-55简" panose="00020600040101010101" charset="-128"/>
          <a:sym typeface="汉仪旗黑-55简" panose="00020600040101010101" charset="-128"/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50"/>
      <c:rotY val="0"/>
      <c:depthPercent val="100"/>
      <c:rAngAx val="0"/>
    </c:view3D>
    <c:floor>
      <c:thickness val="0"/>
      <c:spPr>
        <a:noFill/>
        <a:ln>
          <a:noFill/>
        </a:ln>
        <a:effectLst/>
      </c:spPr>
    </c:floor>
    <c:sideWall>
      <c:thickness val="0"/>
      <c:spPr>
        <a:noFill/>
        <a:ln>
          <a:noFill/>
        </a:ln>
        <a:effectLst/>
      </c:spPr>
    </c:sideWall>
    <c:backWall>
      <c:thickness val="0"/>
      <c:spPr>
        <a:noFill/>
        <a:ln>
          <a:noFill/>
        </a:ln>
        <a:effectLst/>
      </c:spPr>
    </c:backWall>
    <c:plotArea>
      <c:layout>
        <c:manualLayout>
          <c:layoutTarget val="inner"/>
          <c:xMode val="edge"/>
          <c:yMode val="edge"/>
          <c:x val="0.029936587523964"/>
          <c:y val="0.0777934936350778"/>
          <c:w val="0.820970358354225"/>
          <c:h val="0.844413012729844"/>
        </c:manualLayout>
      </c:layout>
      <c:pie3DChart>
        <c:varyColors val="1"/>
        <c:ser>
          <c:idx val="0"/>
          <c:order val="0"/>
          <c:explosion val="6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/>
            </c:spPr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{"主业","兼职"}</c:f>
              <c:strCache>
                <c:ptCount val="2"/>
                <c:pt idx="0">
                  <c:v>主业</c:v>
                </c:pt>
                <c:pt idx="1">
                  <c:v>兼职</c:v>
                </c:pt>
              </c:strCache>
            </c:strRef>
          </c:cat>
          <c:val>
            <c:numRef>
              <c:f>{285,218}</c:f>
              <c:numCache>
                <c:formatCode>General</c:formatCode>
                <c:ptCount val="2"/>
                <c:pt idx="0">
                  <c:v>285</c:v>
                </c:pt>
                <c:pt idx="1">
                  <c:v>218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1"/>
          <c:showBubbleSize val="0"/>
        </c:dLbls>
      </c:pie3DChart>
      <c:spPr>
        <a:noFill/>
        <a:ln>
          <a:noFill/>
        </a:ln>
        <a:effectLst/>
      </c:spPr>
    </c:plotArea>
    <c:legend>
      <c:legendPos val="r"/>
      <c:layout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c155c32-5631-4dfb-9fda-f9baff13637d}"/>
      </c:ext>
    </c:extLst>
  </c:chart>
  <c:spPr>
    <a:noFill/>
    <a:ln w="9525" cap="flat" cmpd="sng" algn="ctr">
      <a:noFill/>
      <a:prstDash val="solid"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读者日均停留时长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6678860726418"/>
          <c:y val="0.252480705622933"/>
          <c:w val="0.802900444212177"/>
          <c:h val="0.631841234840132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E97132">
                <a:lumMod val="60000"/>
                <a:lumOff val="40000"/>
                <a:alpha val="73000"/>
              </a:srgb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{"4小时以内","4-6小时","6-8小时","8-10小时","10小时以上"}</c:f>
              <c:strCache>
                <c:ptCount val="5"/>
                <c:pt idx="0">
                  <c:v>4小时以内</c:v>
                </c:pt>
                <c:pt idx="1">
                  <c:v>4-6小时</c:v>
                </c:pt>
                <c:pt idx="2">
                  <c:v>6-8小时</c:v>
                </c:pt>
                <c:pt idx="3">
                  <c:v>8-10小时</c:v>
                </c:pt>
                <c:pt idx="4">
                  <c:v>10小时以上</c:v>
                </c:pt>
              </c:strCache>
            </c:strRef>
          </c:cat>
          <c:val>
            <c:numRef>
              <c:f>{36,103,98,161,105}</c:f>
              <c:numCache>
                <c:formatCode>General</c:formatCode>
                <c:ptCount val="5"/>
                <c:pt idx="0">
                  <c:v>36</c:v>
                </c:pt>
                <c:pt idx="1">
                  <c:v>103</c:v>
                </c:pt>
                <c:pt idx="2">
                  <c:v>98</c:v>
                </c:pt>
                <c:pt idx="3">
                  <c:v>161</c:v>
                </c:pt>
                <c:pt idx="4">
                  <c:v>105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04"/>
        <c:overlap val="0"/>
        <c:axId val="588400416"/>
        <c:axId val="585612464"/>
      </c:barChart>
      <c:catAx>
        <c:axId val="58840041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cap="none" spc="0" normalizeH="0" baseline="0">
                <a:solidFill>
                  <a:schemeClr val="tx1">
                    <a:lumMod val="75000"/>
                    <a:lumOff val="25000"/>
                  </a:schemeClr>
                </a:solidFill>
                <a:uFill>
                  <a:solidFill>
                    <a:schemeClr val="tx1">
                      <a:lumMod val="65000"/>
                      <a:lumOff val="35000"/>
                    </a:schemeClr>
                  </a:solidFill>
                </a:u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85612464"/>
        <c:crosses val="autoZero"/>
        <c:auto val="1"/>
        <c:lblAlgn val="ctr"/>
        <c:lblOffset val="100"/>
        <c:noMultiLvlLbl val="0"/>
      </c:catAx>
      <c:valAx>
        <c:axId val="585612464"/>
        <c:scaling>
          <c:orientation val="minMax"/>
        </c:scaling>
        <c:delete val="0"/>
        <c:axPos val="b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prstDash val="solid"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88400416"/>
        <c:crosses val="autoZero"/>
        <c:crossBetween val="between"/>
      </c:valAx>
      <c:spPr>
        <a:solidFill>
          <a:srgbClr val="FFFFFF"/>
        </a:solidFill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a09f2c1a-174f-4b9e-9534-0533c8155d71}"/>
      </c:ext>
    </c:extLst>
  </c:chart>
  <c:spPr>
    <a:noFill/>
    <a:ln w="6350" cap="flat" cmpd="sng" algn="ctr">
      <a:noFill/>
      <a:round/>
    </a:ln>
    <a:effectLst/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读者周边居住距离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doughnut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dLbl>
              <c:idx val="0"/>
              <c:layout>
                <c:manualLayout>
                  <c:x val="0.0861954647924678"/>
                  <c:y val="-0.131012811215857"/>
                </c:manualLayout>
              </c:layout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0.144675772443973"/>
                  <c:y val="-0.0120860526951898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-0.202227821243867"/>
                  <c:y val="0.0140198211264201"/>
                </c:manualLayout>
              </c:layout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-0.151438801219997"/>
                  <c:y val="-0.0623640319071791"/>
                </c:manualLayout>
              </c:layout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{"6个月以内","6个月-1年","1-3年","3年以上"}</c:f>
              <c:strCache>
                <c:ptCount val="4"/>
                <c:pt idx="0">
                  <c:v>6个月以内</c:v>
                </c:pt>
                <c:pt idx="1">
                  <c:v>6个月-1年</c:v>
                </c:pt>
                <c:pt idx="2">
                  <c:v>1-3年</c:v>
                </c:pt>
                <c:pt idx="3">
                  <c:v>3年以上</c:v>
                </c:pt>
              </c:strCache>
            </c:strRef>
          </c:cat>
          <c:val>
            <c:numRef>
              <c:f>{53,131,204,115}</c:f>
              <c:numCache>
                <c:formatCode>General</c:formatCode>
                <c:ptCount val="4"/>
                <c:pt idx="0">
                  <c:v>53</c:v>
                </c:pt>
                <c:pt idx="1">
                  <c:v>131</c:v>
                </c:pt>
                <c:pt idx="2">
                  <c:v>204</c:v>
                </c:pt>
                <c:pt idx="3">
                  <c:v>115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56"/>
      </c:doughnutChart>
      <c:spPr>
        <a:blipFill rotWithShape="1">
          <a:blip xmlns:r="http://schemas.openxmlformats.org/officeDocument/2006/relationships" r:embed="rId3"/>
          <a:stretch>
            <a:fillRect/>
          </a:stretch>
        </a:blipFill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6562699-f0d6-446b-bfef-54b31e772b64}"/>
      </c:ext>
    </c:extLst>
  </c:chart>
  <c:spPr>
    <a:solidFill>
      <a:schemeClr val="bg1"/>
    </a:solidFill>
    <a:ln w="6350" cap="flat" cmpd="sng" algn="ctr">
      <a:noFill/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0779692718770875"/>
          <c:y val="0.0554216867469879"/>
          <c:w val="0.892638610554442"/>
          <c:h val="0.80813922356091"/>
        </c:manualLayout>
      </c:layout>
      <c:barChart>
        <c:barDir val="col"/>
        <c:grouping val="clustered"/>
        <c:varyColors val="0"/>
        <c:ser>
          <c:idx val="0"/>
          <c:order val="0"/>
          <c:spPr>
            <a:pattFill prst="wdUpDiag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 w="25400">
              <a:solidFill>
                <a:schemeClr val="accent1"/>
              </a:solidFill>
            </a:ln>
            <a:effectLst/>
            <a:scene3d>
              <a:camera prst="orthographicFront"/>
              <a:lightRig rig="threePt" dir="t"/>
            </a:scene3d>
            <a:sp3d contourW="25400"/>
          </c:spPr>
          <c:invertIfNegative val="0"/>
          <c:dPt>
            <c:idx val="0"/>
            <c:invertIfNegative val="0"/>
            <c:bubble3D val="0"/>
            <c:explosion val="10"/>
            <c:spPr>
              <a:pattFill prst="wdUpDiag">
                <a:fgClr>
                  <a:schemeClr val="accent1"/>
                </a:fgClr>
                <a:bgClr>
                  <a:schemeClr val="accent1">
                    <a:lumMod val="20000"/>
                    <a:lumOff val="80000"/>
                  </a:schemeClr>
                </a:bgClr>
              </a:pattFill>
              <a:ln w="25400">
                <a:solidFill>
                  <a:schemeClr val="accen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accent1"/>
                </a:contourClr>
              </a:sp3d>
            </c:spPr>
          </c:dPt>
          <c:dPt>
            <c:idx val="1"/>
            <c:invertIfNegative val="0"/>
            <c:bubble3D val="0"/>
            <c:spPr>
              <a:pattFill prst="wdUpDiag">
                <a:fgClr>
                  <a:schemeClr val="accent2"/>
                </a:fgClr>
                <a:bgClr>
                  <a:schemeClr val="accent2">
                    <a:lumMod val="20000"/>
                    <a:lumOff val="80000"/>
                  </a:schemeClr>
                </a:bgClr>
              </a:pattFill>
              <a:ln w="25400">
                <a:solidFill>
                  <a:schemeClr val="accent2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accent2"/>
                </a:contourClr>
              </a:sp3d>
            </c:spPr>
          </c:dPt>
          <c:dPt>
            <c:idx val="2"/>
            <c:invertIfNegative val="0"/>
            <c:bubble3D val="0"/>
            <c:spPr>
              <a:pattFill prst="wdUpDiag">
                <a:fgClr>
                  <a:schemeClr val="accent3"/>
                </a:fgClr>
                <a:bgClr>
                  <a:schemeClr val="accent3">
                    <a:lumMod val="20000"/>
                    <a:lumOff val="80000"/>
                  </a:schemeClr>
                </a:bgClr>
              </a:pattFill>
              <a:ln w="25400">
                <a:solidFill>
                  <a:schemeClr val="accent3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accent3"/>
                </a:contourClr>
              </a:sp3d>
            </c:spPr>
          </c:dPt>
          <c:dPt>
            <c:idx val="3"/>
            <c:invertIfNegative val="0"/>
            <c:bubble3D val="0"/>
            <c:spPr>
              <a:pattFill prst="wd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25400">
                <a:solidFill>
                  <a:schemeClr val="accent4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accent4"/>
                </a:contourClr>
              </a:sp3d>
            </c:spPr>
          </c:dPt>
          <c:dLbls>
            <c:dLbl>
              <c:idx val="0"/>
              <c:layout>
                <c:manualLayout>
                  <c:x val="0.0053440213760855"/>
                  <c:y val="-0.125033467202142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900" b="0" i="0" u="none" strike="noStrike" kern="1200" baseline="0">
                        <a:solidFill>
                          <a:schemeClr val="accent1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从未使用，89</a:t>
                    </a:r>
                  </a:p>
                </c:rich>
              </c:tx>
              <c:numFmt formatCode="General" sourceLinked="1"/>
              <c:spPr>
                <a:solidFill>
                  <a:schemeClr val="bg1"/>
                </a:solidFill>
                <a:ln>
                  <a:solidFill>
                    <a:schemeClr val="accent1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accent1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dLblPos val="inEnd"/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183166332665331"/>
                      <c:h val="0.0880856760374833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0.0108216432865731"/>
                  <c:y val="-0.110843373493976"/>
                </c:manualLayout>
              </c:layout>
              <c:numFmt formatCode="General" sourceLinked="1"/>
              <c:spPr>
                <a:solidFill>
                  <a:schemeClr val="bg1"/>
                </a:solidFill>
                <a:ln>
                  <a:solidFill>
                    <a:schemeClr val="accent2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2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dLblPos val="inEnd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0.000133600534402138"/>
                  <c:y val="-0.113788487282463"/>
                </c:manualLayout>
              </c:layout>
              <c:numFmt formatCode="General" sourceLinked="1"/>
              <c:spPr>
                <a:solidFill>
                  <a:schemeClr val="bg1"/>
                </a:solidFill>
                <a:ln>
                  <a:solidFill>
                    <a:schemeClr val="accent3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3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dLblPos val="inEnd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0.00547762191048764"/>
                  <c:y val="-0.114323962516734"/>
                </c:manualLayout>
              </c:layout>
              <c:numFmt formatCode="General" sourceLinked="1"/>
              <c:spPr>
                <a:solidFill>
                  <a:schemeClr val="bg1"/>
                </a:solidFill>
                <a:ln>
                  <a:solidFill>
                    <a:schemeClr val="accent4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4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dLblPos val="inEnd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solidFill>
                <a:schemeClr val="bg1"/>
              </a:solidFill>
              <a:ln>
                <a:solidFill>
                  <a:schemeClr val="accent1"/>
                </a:solidFill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1" i="0" u="none" strike="noStrike" kern="1200" baseline="0">
                    <a:solidFill>
                      <a:schemeClr val="accent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inEnd"/>
            <c:showLegendKey val="0"/>
            <c:showVal val="1"/>
            <c:showCatName val="1"/>
            <c:showSerName val="0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{"从未使用","偶尔1次","每周1-2次","每天都用"}</c:f>
              <c:strCache>
                <c:ptCount val="4"/>
                <c:pt idx="0">
                  <c:v>从未使用</c:v>
                </c:pt>
                <c:pt idx="1">
                  <c:v>偶尔1次</c:v>
                </c:pt>
                <c:pt idx="2">
                  <c:v>每周1-2次</c:v>
                </c:pt>
                <c:pt idx="3">
                  <c:v>每天都用</c:v>
                </c:pt>
              </c:strCache>
            </c:strRef>
          </c:cat>
          <c:val>
            <c:numRef>
              <c:f>{89,215,102,97}</c:f>
              <c:numCache>
                <c:formatCode>General</c:formatCode>
                <c:ptCount val="4"/>
                <c:pt idx="0">
                  <c:v>89</c:v>
                </c:pt>
                <c:pt idx="1">
                  <c:v>215</c:v>
                </c:pt>
                <c:pt idx="2">
                  <c:v>102</c:v>
                </c:pt>
                <c:pt idx="3">
                  <c:v>97</c:v>
                </c:pt>
              </c:numCache>
            </c:numRef>
          </c:val>
        </c:ser>
        <c:dLbls>
          <c:showLegendKey val="0"/>
          <c:showVal val="1"/>
          <c:showCatName val="1"/>
          <c:showSerName val="0"/>
          <c:showPercent val="0"/>
          <c:showBubbleSize val="0"/>
        </c:dLbls>
        <c:gapWidth val="150"/>
        <c:overlap val="0"/>
        <c:axId val="563333787"/>
        <c:axId val="394114862"/>
      </c:barChart>
      <c:catAx>
        <c:axId val="563333787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394114862"/>
        <c:crosses val="autoZero"/>
        <c:auto val="1"/>
        <c:lblAlgn val="ctr"/>
        <c:lblOffset val="100"/>
        <c:noMultiLvlLbl val="0"/>
      </c:catAx>
      <c:valAx>
        <c:axId val="39411486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6333378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39d52dd2-7b80-4d9b-8fde-b2a57a2e61fd}"/>
      </c:ext>
    </c:extLst>
  </c:chart>
  <c:spPr>
    <a:solidFill>
      <a:schemeClr val="bg1"/>
    </a:solidFill>
    <a:ln w="6350" cap="flat" cmpd="sng" algn="ctr">
      <a:noFill/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 b="0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/>
                </c:pt>
              </c:strCache>
            </c:strRef>
          </c:tx>
          <c:spPr>
            <a:gradFill>
              <a:gsLst>
                <a:gs pos="0">
                  <a:srgbClr val="FFDA32"/>
                </a:gs>
                <a:gs pos="100000">
                  <a:srgbClr val="EA2768"/>
                </a:gs>
              </a:gsLst>
              <a:path path="circle">
                <a:fillToRect r="100000" b="100000"/>
              </a:path>
              <a:tileRect l="-100000" t="-100000"/>
            </a:gradFill>
            <a:ln>
              <a:gradFill>
                <a:gsLst>
                  <a:gs pos="0">
                    <a:schemeClr val="accent1"/>
                  </a:gs>
                  <a:gs pos="100000">
                    <a:schemeClr val="accent1">
                      <a:lumMod val="75000"/>
                    </a:schemeClr>
                  </a:gs>
                </a:gsLst>
                <a:lin ang="10800000" scaled="0"/>
              </a:gradFill>
            </a:ln>
            <a:effectLst/>
          </c:spPr>
          <c:dLbls>
            <c:delete val="1"/>
          </c:dLbls>
          <c:cat>
            <c:strRef>
              <c:f>Sheet1!$A$2:$A$9</c:f>
              <c:strCache>
                <c:ptCount val="8"/>
                <c:pt idx="0">
                  <c:v>休息补给（饮水、坐凳、避雨等）</c:v>
                </c:pt>
                <c:pt idx="1">
                  <c:v>设备补给/换电/车辆简易维修</c:v>
                </c:pt>
                <c:pt idx="2">
                  <c:v>如厕</c:v>
                </c:pt>
                <c:pt idx="3">
                  <c:v>临停指引</c:v>
                </c:pt>
                <c:pt idx="4">
                  <c:v>应急物资领取（雨衣、创可贴等）</c:v>
                </c:pt>
                <c:pt idx="5">
                  <c:v>非高峰期优惠餐食</c:v>
                </c:pt>
                <c:pt idx="6">
                  <c:v>服务权益保障相关信息</c:v>
                </c:pt>
                <c:pt idx="7">
                  <c:v>子女托管、生活支持等服务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230</c:v>
                </c:pt>
                <c:pt idx="1">
                  <c:v>256</c:v>
                </c:pt>
                <c:pt idx="2">
                  <c:v>173</c:v>
                </c:pt>
                <c:pt idx="3">
                  <c:v>233</c:v>
                </c:pt>
                <c:pt idx="4">
                  <c:v>173</c:v>
                </c:pt>
                <c:pt idx="5">
                  <c:v>149</c:v>
                </c:pt>
                <c:pt idx="6">
                  <c:v>176</c:v>
                </c:pt>
                <c:pt idx="7">
                  <c:v>139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8518291"/>
        <c:axId val="916063737"/>
      </c:areaChart>
      <c:catAx>
        <c:axId val="2085182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16063737"/>
        <c:crosses val="autoZero"/>
        <c:auto val="1"/>
        <c:lblAlgn val="ctr"/>
        <c:lblOffset val="100"/>
        <c:noMultiLvlLbl val="0"/>
      </c:catAx>
      <c:valAx>
        <c:axId val="91606373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08518291"/>
        <c:crosses val="autoZero"/>
        <c:crossBetween val="midCat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032ec3c-b1e0-42c2-9cde-a86dcecfdd94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spPr>
            <a:ln w="31750" cmpd="dbl">
              <a:solidFill>
                <a:schemeClr val="bg1"/>
              </a:solidFill>
              <a:prstDash val="solid"/>
            </a:ln>
            <a:effectLst>
              <a:innerShdw blurRad="63500" dist="114300">
                <a:prstClr val="black">
                  <a:alpha val="50000"/>
                </a:prstClr>
              </a:innerShdw>
            </a:effectLst>
            <a:sp3d contourW="31750"/>
          </c:spPr>
          <c:explosion val="0"/>
          <c:dPt>
            <c:idx val="0"/>
            <c:bubble3D val="0"/>
            <c:spPr>
              <a:solidFill>
                <a:schemeClr val="accent1"/>
              </a:solidFill>
              <a:ln w="31750" cmpd="dbl">
                <a:solidFill>
                  <a:schemeClr val="bg1"/>
                </a:solidFill>
                <a:prstDash val="solid"/>
              </a:ln>
              <a:effectLst>
                <a:innerShdw blurRad="63500" dist="114300">
                  <a:schemeClr val="accent1">
                    <a:lumMod val="50000"/>
                    <a:alpha val="100000"/>
                  </a:schemeClr>
                </a:innerShdw>
              </a:effectLst>
              <a:sp3d contourW="31750"/>
            </c:spPr>
          </c:dPt>
          <c:dPt>
            <c:idx val="1"/>
            <c:bubble3D val="0"/>
            <c:spPr>
              <a:solidFill>
                <a:schemeClr val="accent2"/>
              </a:solidFill>
              <a:ln w="38100" cmpd="dbl">
                <a:solidFill>
                  <a:schemeClr val="bg1"/>
                </a:solidFill>
                <a:prstDash val="solid"/>
              </a:ln>
              <a:effectLst>
                <a:innerShdw blurRad="63500" dist="114300">
                  <a:schemeClr val="accent2">
                    <a:lumMod val="50000"/>
                    <a:alpha val="100000"/>
                  </a:schemeClr>
                </a:innerShdw>
              </a:effectLst>
              <a:sp3d contourW="38100"/>
            </c:spPr>
          </c:dPt>
          <c:dPt>
            <c:idx val="2"/>
            <c:bubble3D val="0"/>
            <c:spPr>
              <a:solidFill>
                <a:schemeClr val="accent3"/>
              </a:solidFill>
              <a:ln w="31750" cmpd="dbl">
                <a:solidFill>
                  <a:schemeClr val="bg1"/>
                </a:solidFill>
                <a:prstDash val="solid"/>
              </a:ln>
              <a:effectLst>
                <a:innerShdw blurRad="63500" dist="114300">
                  <a:schemeClr val="accent3">
                    <a:lumMod val="50000"/>
                    <a:alpha val="100000"/>
                  </a:schemeClr>
                </a:innerShdw>
              </a:effectLst>
              <a:sp3d contourW="31750"/>
            </c:spPr>
          </c:dPt>
          <c:dPt>
            <c:idx val="3"/>
            <c:bubble3D val="0"/>
            <c:spPr>
              <a:solidFill>
                <a:schemeClr val="accent4"/>
              </a:solidFill>
              <a:ln w="31750" cmpd="dbl">
                <a:solidFill>
                  <a:schemeClr val="bg1"/>
                </a:solidFill>
                <a:prstDash val="solid"/>
              </a:ln>
              <a:effectLst>
                <a:innerShdw blurRad="63500" dist="114300">
                  <a:schemeClr val="accent4">
                    <a:lumMod val="50000"/>
                    <a:alpha val="100000"/>
                  </a:schemeClr>
                </a:innerShdw>
              </a:effectLst>
              <a:sp3d contourW="31750"/>
            </c:spPr>
          </c:dPt>
          <c:dPt>
            <c:idx val="4"/>
            <c:bubble3D val="0"/>
            <c:spPr>
              <a:solidFill>
                <a:schemeClr val="accent5"/>
              </a:solidFill>
              <a:ln w="31750" cmpd="dbl">
                <a:solidFill>
                  <a:schemeClr val="bg1"/>
                </a:solidFill>
                <a:prstDash val="solid"/>
              </a:ln>
              <a:effectLst>
                <a:innerShdw blurRad="63500" dist="114300">
                  <a:schemeClr val="accent5">
                    <a:lumMod val="50000"/>
                    <a:alpha val="100000"/>
                  </a:schemeClr>
                </a:innerShdw>
              </a:effectLst>
              <a:sp3d contourW="31750"/>
            </c:spPr>
          </c:dPt>
          <c:dPt>
            <c:idx val="5"/>
            <c:bubble3D val="0"/>
            <c:spPr>
              <a:solidFill>
                <a:schemeClr val="accent6"/>
              </a:solidFill>
              <a:ln w="31750" cmpd="dbl">
                <a:solidFill>
                  <a:schemeClr val="bg1"/>
                </a:solidFill>
                <a:prstDash val="solid"/>
              </a:ln>
              <a:effectLst>
                <a:innerShdw blurRad="63500" dist="114300">
                  <a:schemeClr val="accent6">
                    <a:lumMod val="50000"/>
                    <a:alpha val="100000"/>
                  </a:schemeClr>
                </a:innerShdw>
              </a:effectLst>
              <a:sp3d contourW="31750"/>
            </c:spPr>
          </c:dPt>
          <c:dLbls>
            <c:dLbl>
              <c:idx val="0"/>
              <c:layout>
                <c:manualLayout>
                  <c:x val="0.053043362949211"/>
                  <c:y val="-0.0302151317379744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0.0176369181806127"/>
                  <c:y val="-0.0321489001692047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0.0198912611059541"/>
                  <c:y val="0.0058367812035257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-0.0265216814746055"/>
                  <c:y val="0.15300942712110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-0.0539716218008222"/>
                  <c:y val="0.17718153251148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5"/>
              <c:layout>
                <c:manualLayout>
                  <c:x val="-0.0331521018432569"/>
                  <c:y val="-0.0263475948755137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{"不知道点位位置","位置不顺路，绕路影响到访","标识不清晰，难以找到","开放时间与到访时段冲突","使用流程繁琐","设施服务无法满足需求"}</c:f>
              <c:strCache>
                <c:ptCount val="6"/>
                <c:pt idx="0">
                  <c:v>不知道点位位置</c:v>
                </c:pt>
                <c:pt idx="1">
                  <c:v>位置不顺路，绕路影响到访</c:v>
                </c:pt>
                <c:pt idx="2">
                  <c:v>标识不清晰，难以找到</c:v>
                </c:pt>
                <c:pt idx="3">
                  <c:v>开放时间与到访时段冲突</c:v>
                </c:pt>
                <c:pt idx="4">
                  <c:v>使用流程繁琐</c:v>
                </c:pt>
                <c:pt idx="5">
                  <c:v>设施服务无法满足需求</c:v>
                </c:pt>
              </c:strCache>
            </c:strRef>
          </c:cat>
          <c:val>
            <c:numRef>
              <c:f>{53,60,53,49,36,40}</c:f>
              <c:numCache>
                <c:formatCode>General</c:formatCode>
                <c:ptCount val="6"/>
                <c:pt idx="0">
                  <c:v>53</c:v>
                </c:pt>
                <c:pt idx="1">
                  <c:v>60</c:v>
                </c:pt>
                <c:pt idx="2">
                  <c:v>53</c:v>
                </c:pt>
                <c:pt idx="3">
                  <c:v>49</c:v>
                </c:pt>
                <c:pt idx="4">
                  <c:v>36</c:v>
                </c:pt>
                <c:pt idx="5">
                  <c:v>40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ea8f9de9-18c4-4685-8f26-172cad38a1ce}"/>
      </c:ext>
    </c:extLst>
  </c:chart>
  <c:spPr>
    <a:solidFill>
      <a:schemeClr val="bg1"/>
    </a:solidFill>
    <a:ln w="6350" cap="flat" cmpd="sng" algn="ctr">
      <a:noFill/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服务点覆盖度</c:v>
                </c:pt>
              </c:strCache>
            </c:strRef>
          </c:tx>
          <c:spPr>
            <a:blipFill>
              <a:blip xmlns:r="http://schemas.openxmlformats.org/officeDocument/2006/relationships" r:embed="rId3">
                <a:duotone>
                  <a:schemeClr val="accent1"/>
                  <a:prstClr val="white"/>
                </a:duotone>
              </a:blip>
              <a:stretch>
                <a:fillRect/>
              </a:stretch>
            </a:blipFill>
            <a:ln>
              <a:solidFill>
                <a:schemeClr val="bg1"/>
              </a:solidFill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85000"/>
                        <a:lumOff val="1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低</c:v>
                </c:pt>
                <c:pt idx="1">
                  <c:v>较低</c:v>
                </c:pt>
                <c:pt idx="2">
                  <c:v>中</c:v>
                </c:pt>
                <c:pt idx="3">
                  <c:v>较高</c:v>
                </c:pt>
                <c:pt idx="4">
                  <c:v>高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31</c:v>
                </c:pt>
                <c:pt idx="1">
                  <c:v>32</c:v>
                </c:pt>
                <c:pt idx="2">
                  <c:v>100</c:v>
                </c:pt>
                <c:pt idx="3">
                  <c:v>185</c:v>
                </c:pt>
                <c:pt idx="4">
                  <c:v>155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如厕、接水点位覆盖度</c:v>
                </c:pt>
              </c:strCache>
            </c:strRef>
          </c:tx>
          <c:spPr>
            <a:blipFill>
              <a:blip xmlns:r="http://schemas.openxmlformats.org/officeDocument/2006/relationships" r:embed="rId3">
                <a:duotone>
                  <a:schemeClr val="accent2"/>
                  <a:prstClr val="white"/>
                </a:duotone>
              </a:blip>
              <a:stretch>
                <a:fillRect/>
              </a:stretch>
            </a:blipFill>
            <a:ln>
              <a:solidFill>
                <a:schemeClr val="bg1"/>
              </a:solidFill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85000"/>
                        <a:lumOff val="1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低</c:v>
                </c:pt>
                <c:pt idx="1">
                  <c:v>较低</c:v>
                </c:pt>
                <c:pt idx="2">
                  <c:v>中</c:v>
                </c:pt>
                <c:pt idx="3">
                  <c:v>较高</c:v>
                </c:pt>
                <c:pt idx="4">
                  <c:v>高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29</c:v>
                </c:pt>
                <c:pt idx="1">
                  <c:v>47</c:v>
                </c:pt>
                <c:pt idx="2">
                  <c:v>98</c:v>
                </c:pt>
                <c:pt idx="3">
                  <c:v>165</c:v>
                </c:pt>
                <c:pt idx="4">
                  <c:v>164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设备补给、维修点位覆盖度</c:v>
                </c:pt>
              </c:strCache>
            </c:strRef>
          </c:tx>
          <c:spPr>
            <a:blipFill>
              <a:blip xmlns:r="http://schemas.openxmlformats.org/officeDocument/2006/relationships" r:embed="rId3">
                <a:duotone>
                  <a:schemeClr val="accent3"/>
                  <a:prstClr val="white"/>
                </a:duotone>
              </a:blip>
              <a:stretch>
                <a:fillRect/>
              </a:stretch>
            </a:blipFill>
            <a:ln>
              <a:solidFill>
                <a:schemeClr val="bg1"/>
              </a:solidFill>
            </a:ln>
            <a:effectLst/>
          </c:spPr>
          <c:invertIfNegative val="0"/>
          <c:dPt>
            <c:idx val="0"/>
            <c:invertIfNegative val="0"/>
            <c:bubble3D val="0"/>
          </c:dPt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85000"/>
                        <a:lumOff val="1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低</c:v>
                </c:pt>
                <c:pt idx="1">
                  <c:v>较低</c:v>
                </c:pt>
                <c:pt idx="2">
                  <c:v>中</c:v>
                </c:pt>
                <c:pt idx="3">
                  <c:v>较高</c:v>
                </c:pt>
                <c:pt idx="4">
                  <c:v>高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37</c:v>
                </c:pt>
                <c:pt idx="1">
                  <c:v>31</c:v>
                </c:pt>
                <c:pt idx="2">
                  <c:v>101</c:v>
                </c:pt>
                <c:pt idx="3">
                  <c:v>203</c:v>
                </c:pt>
                <c:pt idx="4">
                  <c:v>131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00"/>
        <c:overlap val="100"/>
        <c:axId val="912177209"/>
        <c:axId val="721115443"/>
      </c:barChart>
      <c:catAx>
        <c:axId val="912177209"/>
        <c:scaling>
          <c:orientation val="minMax"/>
        </c:scaling>
        <c:delete val="0"/>
        <c:axPos val="l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85000"/>
                    <a:lumOff val="1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21115443"/>
        <c:crosses val="autoZero"/>
        <c:auto val="1"/>
        <c:lblAlgn val="ctr"/>
        <c:lblOffset val="10"/>
        <c:noMultiLvlLbl val="0"/>
      </c:catAx>
      <c:valAx>
        <c:axId val="721115443"/>
        <c:scaling>
          <c:orientation val="minMax"/>
        </c:scaling>
        <c:delete val="0"/>
        <c:axPos val="b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85000"/>
                    <a:lumOff val="1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1217720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85000"/>
                  <a:lumOff val="1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6e29598-823d-41e7-ae24-7b5ce6e081ea}"/>
      </c:ext>
    </c:extLst>
  </c:chart>
  <c:spPr>
    <a:solidFill>
      <a:schemeClr val="bg1"/>
    </a:solidFill>
    <a:ln w="6350" cap="flat" cmpd="sng" algn="ctr">
      <a:noFill/>
      <a:prstDash val="sysDash"/>
      <a:round/>
    </a:ln>
    <a:effectLst/>
  </c:spPr>
  <c:txPr>
    <a:bodyPr/>
    <a:lstStyle/>
    <a:p>
      <a:pPr>
        <a:defRPr lang="zh-CN" b="0">
          <a:solidFill>
            <a:schemeClr val="tx1">
              <a:lumMod val="85000"/>
              <a:lumOff val="1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06879929886065"/>
          <c:y val="0.0790678318768206"/>
          <c:w val="0.843930762489045"/>
          <c:h val="0.753516437786101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服务点位置顺路</c:v>
                </c:pt>
              </c:strCache>
            </c:strRef>
          </c:tx>
          <c:spPr>
            <a:gradFill flip="none" rotWithShape="1">
              <a:gsLst>
                <a:gs pos="0">
                  <a:schemeClr val="accent1"/>
                </a:gs>
                <a:gs pos="100000">
                  <a:schemeClr val="accent1">
                    <a:alpha val="50000"/>
                  </a:schemeClr>
                </a:gs>
              </a:gsLst>
              <a:lin ang="2700000" scaled="1"/>
              <a:tileRect/>
            </a:gradFill>
            <a:ln w="15875">
              <a:solidFill>
                <a:schemeClr val="accent1"/>
              </a:solidFill>
            </a:ln>
            <a:effectLst/>
            <a:sp3d contourW="15875"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spAutoFit/>
              </a:bodyPr>
              <a:lstStyle/>
              <a:p>
                <a:pPr>
                  <a:defRPr lang="zh-CN" sz="800" b="0" i="0" u="none" strike="noStrike" kern="1200" cap="none" spc="0" normalizeH="0" baseline="0">
                    <a:solidFill>
                      <a:schemeClr val="bg1"/>
                    </a:solidFill>
                    <a:uFill>
                      <a:solidFill>
                        <a:schemeClr val="bg1"/>
                      </a:solidFill>
                    </a:u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完全不符合</c:v>
                </c:pt>
                <c:pt idx="1">
                  <c:v>比较不符合</c:v>
                </c:pt>
                <c:pt idx="2">
                  <c:v>一般符合</c:v>
                </c:pt>
                <c:pt idx="3">
                  <c:v>比较符合</c:v>
                </c:pt>
                <c:pt idx="4">
                  <c:v>完全符合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29</c:v>
                </c:pt>
                <c:pt idx="1">
                  <c:v>33</c:v>
                </c:pt>
                <c:pt idx="2">
                  <c:v>79</c:v>
                </c:pt>
                <c:pt idx="3">
                  <c:v>190</c:v>
                </c:pt>
                <c:pt idx="4">
                  <c:v>172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服务点标识清晰、位置明确</c:v>
                </c:pt>
              </c:strCache>
            </c:strRef>
          </c:tx>
          <c:spPr>
            <a:gradFill flip="none" rotWithShape="1">
              <a:gsLst>
                <a:gs pos="0">
                  <a:schemeClr val="accent2"/>
                </a:gs>
                <a:gs pos="100000">
                  <a:schemeClr val="accent2">
                    <a:alpha val="50000"/>
                  </a:schemeClr>
                </a:gs>
              </a:gsLst>
              <a:lin ang="2700000" scaled="1"/>
              <a:tileRect/>
            </a:gradFill>
            <a:ln w="15875">
              <a:solidFill>
                <a:schemeClr val="accent2"/>
              </a:solidFill>
            </a:ln>
            <a:effectLst/>
            <a:sp3d contourW="15875"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spAutoFit/>
              </a:bodyPr>
              <a:lstStyle/>
              <a:p>
                <a:pPr>
                  <a:defRPr lang="zh-CN" sz="800" b="0" i="0" u="none" strike="noStrike" kern="1200" cap="none" spc="0" normalizeH="0" baseline="0">
                    <a:solidFill>
                      <a:schemeClr val="bg1"/>
                    </a:solidFill>
                    <a:uFill>
                      <a:solidFill>
                        <a:schemeClr val="bg1"/>
                      </a:solidFill>
                    </a:u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完全不符合</c:v>
                </c:pt>
                <c:pt idx="1">
                  <c:v>比较不符合</c:v>
                </c:pt>
                <c:pt idx="2">
                  <c:v>一般符合</c:v>
                </c:pt>
                <c:pt idx="3">
                  <c:v>比较符合</c:v>
                </c:pt>
                <c:pt idx="4">
                  <c:v>完全符合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25</c:v>
                </c:pt>
                <c:pt idx="1">
                  <c:v>38</c:v>
                </c:pt>
                <c:pt idx="2">
                  <c:v>77</c:v>
                </c:pt>
                <c:pt idx="3">
                  <c:v>188</c:v>
                </c:pt>
                <c:pt idx="4">
                  <c:v>175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使用时无需复杂登记</c:v>
                </c:pt>
              </c:strCache>
            </c:strRef>
          </c:tx>
          <c:spPr>
            <a:gradFill>
              <a:gsLst>
                <a:gs pos="0">
                  <a:schemeClr val="accent3"/>
                </a:gs>
                <a:gs pos="100000">
                  <a:schemeClr val="accent3">
                    <a:alpha val="50000"/>
                  </a:schemeClr>
                </a:gs>
              </a:gsLst>
              <a:lin ang="2700000" scaled="0"/>
            </a:gradFill>
            <a:ln w="15875">
              <a:solidFill>
                <a:schemeClr val="accent3"/>
              </a:solidFill>
            </a:ln>
            <a:effectLst/>
            <a:sp3d contourW="15875"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800" b="0" i="0" u="none" strike="noStrike" kern="1200" cap="none" spc="0" normalizeH="0" baseline="0">
                    <a:solidFill>
                      <a:schemeClr val="bg1"/>
                    </a:solidFill>
                    <a:uFill>
                      <a:solidFill>
                        <a:schemeClr val="bg1"/>
                      </a:solidFill>
                    </a:u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完全不符合</c:v>
                </c:pt>
                <c:pt idx="1">
                  <c:v>比较不符合</c:v>
                </c:pt>
                <c:pt idx="2">
                  <c:v>一般符合</c:v>
                </c:pt>
                <c:pt idx="3">
                  <c:v>比较符合</c:v>
                </c:pt>
                <c:pt idx="4">
                  <c:v>完全符合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22</c:v>
                </c:pt>
                <c:pt idx="1">
                  <c:v>33</c:v>
                </c:pt>
                <c:pt idx="2">
                  <c:v>82</c:v>
                </c:pt>
                <c:pt idx="3">
                  <c:v>208</c:v>
                </c:pt>
                <c:pt idx="4">
                  <c:v>158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33"/>
        <c:overlap val="100"/>
        <c:axId val="861735447"/>
        <c:axId val="259857699"/>
      </c:barChart>
      <c:catAx>
        <c:axId val="8617354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259857699"/>
        <c:crosses val="autoZero"/>
        <c:auto val="1"/>
        <c:lblAlgn val="ctr"/>
        <c:lblOffset val="100"/>
        <c:noMultiLvlLbl val="0"/>
      </c:catAx>
      <c:valAx>
        <c:axId val="2598576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8617354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51b11ba5-41c8-4de6-8609-ac29c343c134}"/>
      </c:ext>
    </c:extLst>
  </c:chart>
  <c:spPr>
    <a:solidFill>
      <a:schemeClr val="bg1"/>
    </a:solidFill>
    <a:ln w="6350" cap="flat" cmpd="sng" algn="ctr">
      <a:noFill/>
      <a:round/>
    </a:ln>
    <a:effectLst/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0293098854249933"/>
          <c:y val="0.0486810551558753"/>
          <c:w val="0.941380229150013"/>
          <c:h val="0.71592326139088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读者愿意参与社区共建活动</c:v>
                </c:pt>
              </c:strCache>
            </c:strRef>
          </c:tx>
          <c:spPr>
            <a:blipFill rotWithShape="1">
              <a:blip xmlns:r="http://schemas.openxmlformats.org/officeDocument/2006/relationships" r:embed="rId3">
                <a:duotone>
                  <a:schemeClr val="accent1"/>
                  <a:prstClr val="white"/>
                </a:duotone>
              </a:blip>
              <a:stretch>
                <a:fillRect/>
              </a:stretch>
            </a:blipFill>
            <a:ln>
              <a:noFill/>
            </a:ln>
            <a:effectLst>
              <a:outerShdw blurRad="76200" dir="13500000" sy="23000" kx="1200000" algn="br" rotWithShape="0">
                <a:prstClr val="black">
                  <a:alpha val="20000"/>
                </a:prstClr>
              </a:outerShdw>
            </a:effectLst>
          </c:spPr>
          <c:invertIfNegative val="0"/>
          <c:dPt>
            <c:idx val="1"/>
            <c:invertIfNegative val="0"/>
            <c:bubble3D val="0"/>
            <c:spPr>
              <a:blipFill rotWithShape="1">
                <a:blip xmlns:r="http://schemas.openxmlformats.org/officeDocument/2006/relationships" r:embed="rId3">
                  <a:duotone>
                    <a:schemeClr val="accent1"/>
                    <a:prstClr val="white"/>
                  </a:duotone>
                </a:blip>
                <a:stretch>
                  <a:fillRect/>
                </a:stretch>
              </a:blip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20000"/>
                  </a:prstClr>
                </a:outerShdw>
              </a:effectLst>
            </c:spPr>
          </c:dPt>
          <c:dLbls>
            <c:dLbl>
              <c:idx val="0"/>
              <c:layout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完全不认同</c:v>
                </c:pt>
                <c:pt idx="1">
                  <c:v>比较不认同</c:v>
                </c:pt>
                <c:pt idx="2">
                  <c:v>一般认同</c:v>
                </c:pt>
                <c:pt idx="3">
                  <c:v>比较认同</c:v>
                </c:pt>
                <c:pt idx="4">
                  <c:v>完全认同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21</c:v>
                </c:pt>
                <c:pt idx="1">
                  <c:v>31</c:v>
                </c:pt>
                <c:pt idx="2">
                  <c:v>89</c:v>
                </c:pt>
                <c:pt idx="3">
                  <c:v>177</c:v>
                </c:pt>
                <c:pt idx="4">
                  <c:v>185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读者反馈问题能助力城市建设和工作环境</c:v>
                </c:pt>
              </c:strCache>
            </c:strRef>
          </c:tx>
          <c:spPr>
            <a:blipFill rotWithShape="1">
              <a:blip xmlns:r="http://schemas.openxmlformats.org/officeDocument/2006/relationships" r:embed="rId3">
                <a:duotone>
                  <a:schemeClr val="accent2"/>
                  <a:prstClr val="white"/>
                </a:duotone>
              </a:blip>
              <a:stretch>
                <a:fillRect/>
              </a:stretch>
            </a:blipFill>
            <a:ln>
              <a:noFill/>
            </a:ln>
            <a:effectLst>
              <a:outerShdw blurRad="76200" dir="13500000" sy="23000" kx="1200000" algn="br" rotWithShape="0">
                <a:prstClr val="black">
                  <a:alpha val="20000"/>
                </a:prstClr>
              </a:outerShdw>
            </a:effectLst>
          </c:spPr>
          <c:invertIfNegative val="0"/>
          <c:dPt>
            <c:idx val="1"/>
            <c:invertIfNegative val="0"/>
            <c:bubble3D val="0"/>
            <c:spPr>
              <a:blipFill rotWithShape="1">
                <a:blip xmlns:r="http://schemas.openxmlformats.org/officeDocument/2006/relationships" r:embed="rId3">
                  <a:duotone>
                    <a:schemeClr val="accent2"/>
                    <a:prstClr val="white"/>
                  </a:duotone>
                </a:blip>
                <a:stretch>
                  <a:fillRect/>
                </a:stretch>
              </a:blip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20000"/>
                  </a:prstClr>
                </a:outerShdw>
              </a:effectLst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完全不认同</c:v>
                </c:pt>
                <c:pt idx="1">
                  <c:v>比较不认同</c:v>
                </c:pt>
                <c:pt idx="2">
                  <c:v>一般认同</c:v>
                </c:pt>
                <c:pt idx="3">
                  <c:v>比较认同</c:v>
                </c:pt>
                <c:pt idx="4">
                  <c:v>完全认同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29</c:v>
                </c:pt>
                <c:pt idx="1">
                  <c:v>29</c:v>
                </c:pt>
                <c:pt idx="2">
                  <c:v>90</c:v>
                </c:pt>
                <c:pt idx="3">
                  <c:v>188</c:v>
                </c:pt>
                <c:pt idx="4">
                  <c:v>167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00"/>
        <c:overlap val="-10"/>
        <c:axId val="697184752"/>
        <c:axId val="862668366"/>
      </c:barChart>
      <c:catAx>
        <c:axId val="69718475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862668366"/>
        <c:crosses val="autoZero"/>
        <c:auto val="1"/>
        <c:lblAlgn val="ctr"/>
        <c:lblOffset val="100"/>
        <c:noMultiLvlLbl val="0"/>
      </c:catAx>
      <c:valAx>
        <c:axId val="862668366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6971847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83d569a-d6b1-4c3a-9dfa-20d84ada8143}"/>
      </c:ext>
    </c:extLst>
  </c:chart>
  <c:spPr>
    <a:solidFill>
      <a:schemeClr val="bg1"/>
    </a:solidFill>
    <a:ln w="6350" cap="flat" cmpd="sng" algn="ctr">
      <a:noFill/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 algn="just"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愿意顺手反馈公共问题</c:v>
                </c:pt>
              </c:strCache>
            </c:strRef>
          </c:tx>
          <c:spPr>
            <a:solidFill>
              <a:schemeClr val="accent1">
                <a:alpha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solidFill>
                <a:schemeClr val="accent1"/>
              </a:solidFill>
              <a:ln>
                <a:solidFill>
                  <a:schemeClr val="bg1"/>
                </a:solidFill>
              </a:ln>
              <a:effectLst/>
            </c:spPr>
            <c:txPr>
              <a:bodyPr rot="0" spcFirstLastPara="0" vertOverflow="clip" horzOverflow="clip" vert="horz" wrap="square" lIns="71755" tIns="36195" rIns="71755" bIns="36195" anchor="ctr" anchorCtr="1" forceAA="0">
                <a:spAutoFit/>
              </a:bodyPr>
              <a:lstStyle/>
              <a:p>
                <a:pPr>
                  <a:defRPr lang="zh-CN" sz="1000" b="0" i="0" u="none" strike="noStrike" kern="1200" baseline="0">
                    <a:solidFill>
                      <a:schemeClr val="bg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完全不认同</c:v>
                </c:pt>
                <c:pt idx="1">
                  <c:v>比较不认同</c:v>
                </c:pt>
                <c:pt idx="2">
                  <c:v>一般认同</c:v>
                </c:pt>
                <c:pt idx="3">
                  <c:v>比较认同</c:v>
                </c:pt>
                <c:pt idx="4">
                  <c:v>完全认同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20</c:v>
                </c:pt>
                <c:pt idx="1">
                  <c:v>40</c:v>
                </c:pt>
                <c:pt idx="2">
                  <c:v>116</c:v>
                </c:pt>
                <c:pt idx="3">
                  <c:v>175</c:v>
                </c:pt>
                <c:pt idx="4">
                  <c:v>152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愿意在不耽误时间时参与社区社区服务</c:v>
                </c:pt>
              </c:strCache>
            </c:strRef>
          </c:tx>
          <c:spPr>
            <a:solidFill>
              <a:schemeClr val="accent2">
                <a:alpha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  <c:txPr>
              <a:bodyPr rot="0" spcFirstLastPara="0" vertOverflow="clip" horzOverflow="clip" vert="horz" wrap="square" lIns="71755" tIns="36195" rIns="71755" bIns="36195" anchor="ctr" anchorCtr="1" forceAA="0">
                <a:spAutoFit/>
              </a:bodyPr>
              <a:lstStyle/>
              <a:p>
                <a:pPr>
                  <a:defRPr lang="zh-CN" sz="1000" b="0" i="0" u="none" strike="noStrike" kern="1200" baseline="0">
                    <a:solidFill>
                      <a:schemeClr val="bg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完全不认同</c:v>
                </c:pt>
                <c:pt idx="1">
                  <c:v>比较不认同</c:v>
                </c:pt>
                <c:pt idx="2">
                  <c:v>一般认同</c:v>
                </c:pt>
                <c:pt idx="3">
                  <c:v>比较认同</c:v>
                </c:pt>
                <c:pt idx="4">
                  <c:v>完全认同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26</c:v>
                </c:pt>
                <c:pt idx="1">
                  <c:v>30</c:v>
                </c:pt>
                <c:pt idx="2">
                  <c:v>79</c:v>
                </c:pt>
                <c:pt idx="3">
                  <c:v>194</c:v>
                </c:pt>
                <c:pt idx="4">
                  <c:v>174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愿意在得到反馈后持续参与阅读共创</c:v>
                </c:pt>
              </c:strCache>
            </c:strRef>
          </c:tx>
          <c:spPr>
            <a:solidFill>
              <a:schemeClr val="accent3">
                <a:alpha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solidFill>
                <a:schemeClr val="accent3"/>
              </a:solidFill>
              <a:ln>
                <a:solidFill>
                  <a:schemeClr val="bg1"/>
                </a:solidFill>
              </a:ln>
              <a:effectLst/>
            </c:spPr>
            <c:txPr>
              <a:bodyPr rot="0" spcFirstLastPara="0" vertOverflow="clip" horzOverflow="clip" vert="horz" wrap="square" lIns="71755" tIns="36195" rIns="71755" bIns="36195" anchor="ctr" anchorCtr="1" forceAA="0">
                <a:spAutoFit/>
              </a:bodyPr>
              <a:lstStyle/>
              <a:p>
                <a:pPr>
                  <a:defRPr lang="zh-CN" sz="1000" b="0" i="0" u="none" strike="noStrike" kern="1200" baseline="0">
                    <a:solidFill>
                      <a:schemeClr val="bg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完全不认同</c:v>
                </c:pt>
                <c:pt idx="1">
                  <c:v>比较不认同</c:v>
                </c:pt>
                <c:pt idx="2">
                  <c:v>一般认同</c:v>
                </c:pt>
                <c:pt idx="3">
                  <c:v>比较认同</c:v>
                </c:pt>
                <c:pt idx="4">
                  <c:v>完全认同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37</c:v>
                </c:pt>
                <c:pt idx="1">
                  <c:v>35</c:v>
                </c:pt>
                <c:pt idx="2">
                  <c:v>94</c:v>
                </c:pt>
                <c:pt idx="3">
                  <c:v>189</c:v>
                </c:pt>
                <c:pt idx="4">
                  <c:v>148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小福利会提高参与意愿</c:v>
                </c:pt>
              </c:strCache>
            </c:strRef>
          </c:tx>
          <c:spPr>
            <a:solidFill>
              <a:schemeClr val="accent4">
                <a:alpha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solidFill>
                <a:schemeClr val="accent4"/>
              </a:solidFill>
              <a:ln>
                <a:solidFill>
                  <a:schemeClr val="bg1"/>
                </a:solidFill>
              </a:ln>
              <a:effectLst/>
            </c:spPr>
            <c:txPr>
              <a:bodyPr rot="0" spcFirstLastPara="0" vertOverflow="clip" horzOverflow="clip" vert="horz" wrap="square" lIns="71755" tIns="36195" rIns="71755" bIns="36195" anchor="ctr" anchorCtr="1" forceAA="0">
                <a:spAutoFit/>
              </a:bodyPr>
              <a:lstStyle/>
              <a:p>
                <a:pPr>
                  <a:defRPr lang="zh-CN" sz="1000" b="0" i="0" u="none" strike="noStrike" kern="1200" baseline="0">
                    <a:ln>
                      <a:noFill/>
                    </a:ln>
                    <a:solidFill>
                      <a:schemeClr val="bg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完全不认同</c:v>
                </c:pt>
                <c:pt idx="1">
                  <c:v>比较不认同</c:v>
                </c:pt>
                <c:pt idx="2">
                  <c:v>一般认同</c:v>
                </c:pt>
                <c:pt idx="3">
                  <c:v>比较认同</c:v>
                </c:pt>
                <c:pt idx="4">
                  <c:v>完全认同</c:v>
                </c:pt>
              </c:strCache>
            </c:strRef>
          </c:cat>
          <c:val>
            <c:numRef>
              <c:f>Sheet1!$E$2:$E$6</c:f>
              <c:numCache>
                <c:formatCode>General</c:formatCode>
                <c:ptCount val="5"/>
                <c:pt idx="0">
                  <c:v>24</c:v>
                </c:pt>
                <c:pt idx="1">
                  <c:v>33</c:v>
                </c:pt>
                <c:pt idx="2">
                  <c:v>104</c:v>
                </c:pt>
                <c:pt idx="3">
                  <c:v>178</c:v>
                </c:pt>
                <c:pt idx="4">
                  <c:v>164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500"/>
        <c:overlap val="100"/>
        <c:axId val="853114154"/>
        <c:axId val="206933456"/>
      </c:barChart>
      <c:catAx>
        <c:axId val="85311415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0"/>
                  <a:lumOff val="50000"/>
                  <a:alpha val="2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206933456"/>
        <c:crosses val="autoZero"/>
        <c:auto val="1"/>
        <c:lblAlgn val="ctr"/>
        <c:lblOffset val="100"/>
        <c:noMultiLvlLbl val="0"/>
      </c:catAx>
      <c:valAx>
        <c:axId val="206933456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tx1">
                  <a:lumMod val="50000"/>
                  <a:lumOff val="50000"/>
                  <a:alpha val="20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853114154"/>
        <c:crosses val="autoZero"/>
        <c:crossBetween val="between"/>
      </c:valAx>
      <c:spPr>
        <a:noFill/>
        <a:ln w="6350">
          <a:solidFill>
            <a:schemeClr val="tx1">
              <a:lumMod val="50000"/>
              <a:lumOff val="50000"/>
              <a:alpha val="25000"/>
            </a:schemeClr>
          </a:solidFill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694f6b3c-2e33-46d7-a2a9-328c079dcaf7}"/>
      </c:ext>
    </c:extLst>
  </c:chart>
  <c:spPr>
    <a:solidFill>
      <a:schemeClr val="bg1"/>
    </a:solidFill>
    <a:ln w="6350" cap="flat" cmpd="sng" algn="ctr">
      <a:noFill/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noFill/>
            <a:ln>
              <a:noFill/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BarType val="minus"/>
            <c:errValType val="percentage"/>
            <c:noEndCap val="1"/>
            <c:val val="100"/>
            <c:spPr>
              <a:noFill/>
              <a:ln w="63500" cap="flat" cmpd="sng" algn="ctr">
                <a:solidFill>
                  <a:schemeClr val="accent1"/>
                </a:solidFill>
                <a:round/>
                <a:headEnd type="oval"/>
              </a:ln>
              <a:effectLst/>
            </c:spPr>
          </c:errBars>
          <c:cat>
            <c:strRef>
              <c:f>{"反馈过城市问题（如安全隐患、环境脏乱、设施损坏等）","参与过社区 / 商圈的简易社区服务（如秩序维护、助老送餐等）","协助收集 / 反馈过居民 / 合作书店的相关诉求（社情民意）","协助收集","反馈过居民","合作书店的相关诉求（社情民意）","以上均无"}</c:f>
              <c:strCache>
                <c:ptCount val="7"/>
                <c:pt idx="0">
                  <c:v>反馈过城市问题（如安全隐患、环境脏乱、设施损坏等）</c:v>
                </c:pt>
                <c:pt idx="1">
                  <c:v>参与过社区 / 商圈的简易社区服务（如秩序维护、助老送餐等）</c:v>
                </c:pt>
                <c:pt idx="2">
                  <c:v>协助收集 / 反馈过居民 / 合作书店的相关诉求（社情民意）</c:v>
                </c:pt>
                <c:pt idx="3">
                  <c:v>协助收集</c:v>
                </c:pt>
                <c:pt idx="4">
                  <c:v>反馈过居民</c:v>
                </c:pt>
                <c:pt idx="5">
                  <c:v>合作书店的相关诉求（社情民意）</c:v>
                </c:pt>
                <c:pt idx="6">
                  <c:v>以上均无</c:v>
                </c:pt>
              </c:strCache>
            </c:strRef>
          </c:cat>
          <c:val>
            <c:numRef>
              <c:f>{153,161,92,101,139,184,37}</c:f>
              <c:numCache>
                <c:formatCode>General</c:formatCode>
                <c:ptCount val="7"/>
                <c:pt idx="0">
                  <c:v>153</c:v>
                </c:pt>
                <c:pt idx="1">
                  <c:v>161</c:v>
                </c:pt>
                <c:pt idx="2">
                  <c:v>92</c:v>
                </c:pt>
                <c:pt idx="3">
                  <c:v>101</c:v>
                </c:pt>
                <c:pt idx="4">
                  <c:v>139</c:v>
                </c:pt>
                <c:pt idx="5">
                  <c:v>184</c:v>
                </c:pt>
                <c:pt idx="6">
                  <c:v>37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0"/>
        <c:axId val="588400416"/>
        <c:axId val="585612464"/>
      </c:barChart>
      <c:catAx>
        <c:axId val="588400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85612464"/>
        <c:crosses val="autoZero"/>
        <c:auto val="1"/>
        <c:lblAlgn val="ctr"/>
        <c:lblOffset val="100"/>
        <c:noMultiLvlLbl val="0"/>
      </c:catAx>
      <c:valAx>
        <c:axId val="585612464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10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88400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8aa4d494-a5ab-4f0e-8385-6a0f348fad47}"/>
      </c:ext>
    </c:extLst>
  </c:chart>
  <c:spPr>
    <a:solidFill>
      <a:schemeClr val="bg1"/>
    </a:solidFill>
    <a:ln w="6350" cap="flat" cmpd="sng" algn="ctr">
      <a:noFill/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1000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radarChart>
        <c:radarStyle val="filled"/>
        <c:varyColors val="0"/>
        <c:ser>
          <c:idx val="0"/>
          <c:order val="0"/>
          <c:spPr>
            <a:solidFill>
              <a:schemeClr val="accent2">
                <a:lumMod val="60000"/>
                <a:lumOff val="40000"/>
              </a:schemeClr>
            </a:solidFill>
            <a:ln>
              <a:noFill/>
            </a:ln>
            <a:effectLst>
              <a:softEdge rad="31750"/>
            </a:effectLst>
          </c:spPr>
          <c:marker>
            <c:symbol val="none"/>
          </c:marker>
          <c:dLbls>
            <c:delete val="1"/>
          </c:dLbls>
          <c:cat>
            <c:strRef>
              <c:f>{"到访时间紧张，无多余时间参与","担心耽误接单，影响个人收入","不知道具体的参与渠道和方式","认为参与后无实际效果，只是形式","担心参与后带来额外麻烦或纠纷","对治理工作内容不了解","其他"}</c:f>
              <c:strCache>
                <c:ptCount val="7"/>
                <c:pt idx="0">
                  <c:v>到访时间紧张，无多余时间参与</c:v>
                </c:pt>
                <c:pt idx="1">
                  <c:v>担心耽误接单，影响个人收入</c:v>
                </c:pt>
                <c:pt idx="2">
                  <c:v>不知道具体的参与渠道和方式</c:v>
                </c:pt>
                <c:pt idx="3">
                  <c:v>认为参与后无实际效果，只是形式</c:v>
                </c:pt>
                <c:pt idx="4">
                  <c:v>担心参与后带来额外麻烦或纠纷</c:v>
                </c:pt>
                <c:pt idx="5">
                  <c:v>对治理工作内容不了解</c:v>
                </c:pt>
                <c:pt idx="6">
                  <c:v>其他</c:v>
                </c:pt>
              </c:strCache>
            </c:strRef>
          </c:cat>
          <c:val>
            <c:numRef>
              <c:f>{16,5,25,33,23,22,22}</c:f>
              <c:numCache>
                <c:formatCode>General</c:formatCode>
                <c:ptCount val="7"/>
                <c:pt idx="0">
                  <c:v>16</c:v>
                </c:pt>
                <c:pt idx="1">
                  <c:v>5</c:v>
                </c:pt>
                <c:pt idx="2">
                  <c:v>25</c:v>
                </c:pt>
                <c:pt idx="3">
                  <c:v>33</c:v>
                </c:pt>
                <c:pt idx="4">
                  <c:v>23</c:v>
                </c:pt>
                <c:pt idx="5">
                  <c:v>22</c:v>
                </c:pt>
                <c:pt idx="6">
                  <c:v>22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8400416"/>
        <c:axId val="585612464"/>
      </c:radarChart>
      <c:catAx>
        <c:axId val="588400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85612464"/>
        <c:crosses val="autoZero"/>
        <c:auto val="1"/>
        <c:lblAlgn val="ctr"/>
        <c:lblOffset val="100"/>
        <c:noMultiLvlLbl val="0"/>
      </c:catAx>
      <c:valAx>
        <c:axId val="585612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88400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454e6807-a1d0-4dec-8bc3-c797d0c708b4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spPr>
            <a:blipFill>
              <a:blip xmlns:r="http://schemas.openxmlformats.org/officeDocument/2006/relationships" r:embed="rId3">
                <a:duotone>
                  <a:schemeClr val="accent1"/>
                  <a:prstClr val="white"/>
                </a:duotone>
              </a:blip>
              <a:stretch>
                <a:fillRect/>
              </a:stretch>
            </a:blipFill>
            <a:ln w="19050">
              <a:solidFill>
                <a:schemeClr val="bg1"/>
              </a:solidFill>
            </a:ln>
            <a:sp3d contourW="19050"/>
          </c:spPr>
          <c:explosion val="1"/>
          <c:dPt>
            <c:idx val="0"/>
            <c:bubble3D val="0"/>
            <c:spPr>
              <a:blipFill rotWithShape="1">
                <a:blip xmlns:r="http://schemas.openxmlformats.org/officeDocument/2006/relationships" r:embed="rId3">
                  <a:duotone>
                    <a:schemeClr val="accent1"/>
                    <a:prstClr val="white"/>
                  </a:duotone>
                </a:blip>
                <a:stretch>
                  <a:fillRect/>
                </a:stretch>
              </a:blipFill>
              <a:ln w="19050">
                <a:solidFill>
                  <a:schemeClr val="bg1"/>
                </a:solidFill>
              </a:ln>
              <a:effectLst/>
              <a:sp3d contourW="19050"/>
            </c:spPr>
          </c:dPt>
          <c:dPt>
            <c:idx val="1"/>
            <c:bubble3D val="0"/>
            <c:spPr>
              <a:blipFill rotWithShape="1">
                <a:blip xmlns:r="http://schemas.openxmlformats.org/officeDocument/2006/relationships" r:embed="rId3">
                  <a:duotone>
                    <a:schemeClr val="accent2"/>
                    <a:prstClr val="white"/>
                  </a:duotone>
                </a:blip>
                <a:stretch>
                  <a:fillRect/>
                </a:stretch>
              </a:blipFill>
              <a:ln w="19050">
                <a:solidFill>
                  <a:schemeClr val="bg1"/>
                </a:solidFill>
              </a:ln>
              <a:effectLst/>
              <a:sp3d contourW="19050"/>
            </c:spPr>
          </c:dPt>
          <c:dPt>
            <c:idx val="2"/>
            <c:bubble3D val="0"/>
            <c:spPr>
              <a:blipFill rotWithShape="1">
                <a:blip xmlns:r="http://schemas.openxmlformats.org/officeDocument/2006/relationships" r:embed="rId3">
                  <a:duotone>
                    <a:schemeClr val="accent3"/>
                    <a:prstClr val="white"/>
                  </a:duotone>
                </a:blip>
                <a:stretch>
                  <a:fillRect/>
                </a:stretch>
              </a:blipFill>
              <a:ln w="19050">
                <a:solidFill>
                  <a:schemeClr val="bg1"/>
                </a:solidFill>
              </a:ln>
              <a:effectLst/>
              <a:sp3d contourW="19050"/>
            </c:spPr>
          </c:dPt>
          <c:dPt>
            <c:idx val="3"/>
            <c:bubble3D val="0"/>
            <c:spPr>
              <a:blipFill rotWithShape="1">
                <a:blip xmlns:r="http://schemas.openxmlformats.org/officeDocument/2006/relationships" r:embed="rId3">
                  <a:duotone>
                    <a:schemeClr val="accent4"/>
                    <a:prstClr val="white"/>
                  </a:duotone>
                </a:blip>
                <a:stretch>
                  <a:fillRect/>
                </a:stretch>
              </a:blipFill>
              <a:ln w="19050">
                <a:solidFill>
                  <a:schemeClr val="bg1"/>
                </a:solidFill>
              </a:ln>
              <a:effectLst/>
              <a:sp3d contourW="19050"/>
            </c:spPr>
          </c:dPt>
          <c:dPt>
            <c:idx val="4"/>
            <c:bubble3D val="0"/>
            <c:spPr>
              <a:blipFill rotWithShape="1">
                <a:blip xmlns:r="http://schemas.openxmlformats.org/officeDocument/2006/relationships" r:embed="rId3">
                  <a:duotone>
                    <a:schemeClr val="accent5"/>
                    <a:prstClr val="white"/>
                  </a:duotone>
                </a:blip>
                <a:stretch>
                  <a:fillRect/>
                </a:stretch>
              </a:blipFill>
              <a:ln w="19050">
                <a:solidFill>
                  <a:schemeClr val="bg1"/>
                </a:solidFill>
              </a:ln>
              <a:effectLst/>
              <a:sp3d contourW="19050"/>
            </c:spPr>
          </c:dPt>
          <c:dPt>
            <c:idx val="5"/>
            <c:bubble3D val="0"/>
            <c:spPr>
              <a:blipFill rotWithShape="1">
                <a:blip xmlns:r="http://schemas.openxmlformats.org/officeDocument/2006/relationships" r:embed="rId3">
                  <a:duotone>
                    <a:schemeClr val="accent6"/>
                    <a:prstClr val="white"/>
                  </a:duotone>
                </a:blip>
                <a:stretch>
                  <a:fillRect/>
                </a:stretch>
              </a:blipFill>
              <a:ln w="19050">
                <a:solidFill>
                  <a:schemeClr val="bg1"/>
                </a:solidFill>
              </a:ln>
              <a:effectLst/>
              <a:sp3d contourW="19050"/>
            </c:spPr>
          </c:dPt>
          <c:dPt>
            <c:idx val="6"/>
            <c:bubble3D val="0"/>
            <c:spPr>
              <a:blipFill>
                <a:blip xmlns:r="http://schemas.openxmlformats.org/officeDocument/2006/relationships" r:embed="rId3">
                  <a:duotone>
                    <a:schemeClr val="accent1">
                      <a:lumMod val="75000"/>
                    </a:schemeClr>
                    <a:prstClr val="white"/>
                  </a:duotone>
                </a:blip>
                <a:stretch>
                  <a:fillRect/>
                </a:stretch>
              </a:blipFill>
              <a:ln w="19050">
                <a:solidFill>
                  <a:schemeClr val="bg1"/>
                </a:solidFill>
              </a:ln>
              <a:effectLst/>
              <a:sp3d contourW="19050"/>
            </c:spPr>
          </c:dPt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
</c:separator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{"社区主入口 / 阅读服务核心通道旁","商圈中心 / 阅读合作书店集中区","写字楼集群 / 办公区周边","学校周边 / 读者高频取送点","交通枢纽 / 读者转单等待区","其他","序号"}</c:f>
              <c:strCache>
                <c:ptCount val="7"/>
                <c:pt idx="0">
                  <c:v>社区主入口 / 阅读服务核心通道旁</c:v>
                </c:pt>
                <c:pt idx="1">
                  <c:v>商圈中心 / 阅读合作书店集中区</c:v>
                </c:pt>
                <c:pt idx="2">
                  <c:v>写字楼集群 / 办公区周边</c:v>
                </c:pt>
                <c:pt idx="3">
                  <c:v>学校周边 / 读者高频取送点</c:v>
                </c:pt>
                <c:pt idx="4">
                  <c:v>交通枢纽 / 读者转单等待区</c:v>
                </c:pt>
                <c:pt idx="5">
                  <c:v>其他</c:v>
                </c:pt>
                <c:pt idx="6">
                  <c:v>序号</c:v>
                </c:pt>
              </c:strCache>
            </c:strRef>
          </c:cat>
          <c:val>
            <c:numRef>
              <c:f>{165,275,152,288,134,43,1}</c:f>
              <c:numCache>
                <c:formatCode>General</c:formatCode>
                <c:ptCount val="7"/>
                <c:pt idx="0">
                  <c:v>165</c:v>
                </c:pt>
                <c:pt idx="1">
                  <c:v>275</c:v>
                </c:pt>
                <c:pt idx="2">
                  <c:v>152</c:v>
                </c:pt>
                <c:pt idx="3">
                  <c:v>288</c:v>
                </c:pt>
                <c:pt idx="4">
                  <c:v>134</c:v>
                </c:pt>
                <c:pt idx="5">
                  <c:v>43</c:v>
                </c:pt>
                <c:pt idx="6">
                  <c:v>1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5"/>
      </c:pieChart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c79d858f-06b9-499c-af86-a8911fe1fc3a}"/>
      </c:ext>
    </c:extLst>
  </c:chart>
  <c:spPr>
    <a:solidFill>
      <a:schemeClr val="bg1"/>
    </a:solidFill>
    <a:ln w="6350" cap="flat" cmpd="sng" algn="ctr">
      <a:noFill/>
      <a:round/>
    </a:ln>
    <a:effectLst/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doughnutChart>
        <c:varyColors val="1"/>
        <c:ser>
          <c:idx val="0"/>
          <c:order val="0"/>
          <c:spPr>
            <a:solidFill>
              <a:schemeClr val="accent1"/>
            </a:solidFill>
            <a:ln w="19050">
              <a:solidFill>
                <a:schemeClr val="bg1"/>
              </a:solidFill>
            </a:ln>
            <a:effectLst>
              <a:outerShdw blurRad="50800" dist="38100" dir="2700000" algn="tl" rotWithShape="0">
                <a:schemeClr val="bg1">
                  <a:lumMod val="75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bg1"/>
                </a:solidFill>
              </a:ln>
              <a:effectLst>
                <a:outerShdw blurRad="50800" dist="38100" dir="2700000" algn="tl" rotWithShape="0">
                  <a:schemeClr val="bg1">
                    <a:lumMod val="75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bg1"/>
                </a:solidFill>
              </a:ln>
              <a:effectLst>
                <a:outerShdw blurRad="50800" dist="38100" dir="2700000" algn="tl" rotWithShape="0">
                  <a:schemeClr val="bg1">
                    <a:lumMod val="75000"/>
                    <a:alpha val="40000"/>
                  </a:schemeClr>
                </a:outerShdw>
              </a:effectLst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bg1"/>
                </a:solidFill>
              </a:ln>
              <a:effectLst>
                <a:outerShdw blurRad="50800" dist="38100" dir="2700000" algn="tl" rotWithShape="0">
                  <a:schemeClr val="bg1">
                    <a:lumMod val="75000"/>
                    <a:alpha val="40000"/>
                  </a:schemeClr>
                </a:outerShdw>
              </a:effectLst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bg1"/>
                </a:solidFill>
              </a:ln>
              <a:effectLst>
                <a:outerShdw blurRad="50800" dist="38100" dir="2700000" algn="tl" rotWithShape="0">
                  <a:schemeClr val="bg1">
                    <a:lumMod val="75000"/>
                    <a:alpha val="40000"/>
                  </a:schemeClr>
                </a:outerShdw>
              </a:effectLst>
            </c:spPr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bg1"/>
                </a:solidFill>
              </a:ln>
              <a:effectLst>
                <a:outerShdw blurRad="50800" dist="38100" dir="2700000" algn="tl" rotWithShape="0">
                  <a:schemeClr val="bg1">
                    <a:lumMod val="75000"/>
                    <a:alpha val="40000"/>
                  </a:schemeClr>
                </a:outerShdw>
              </a:effectLst>
            </c:spPr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bg1"/>
                </a:solidFill>
              </a:ln>
              <a:effectLst>
                <a:outerShdw blurRad="50800" dist="38100" dir="2700000" algn="tl" rotWithShape="0">
                  <a:schemeClr val="bg1">
                    <a:lumMod val="75000"/>
                    <a:alpha val="40000"/>
                  </a:schemeClr>
                </a:outerShdw>
              </a:effectLst>
            </c:spPr>
          </c:dPt>
          <c:dLbls>
            <c:dLbl>
              <c:idx val="0"/>
              <c:layout/>
              <c:numFmt formatCode="General" sourceLinked="1"/>
              <c:spPr>
                <a:solidFill>
                  <a:schemeClr val="bg1"/>
                </a:solidFill>
                <a:ln w="25400">
                  <a:solidFill>
                    <a:schemeClr val="accent1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+mn-c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/>
              <c:numFmt formatCode="General" sourceLinked="1"/>
              <c:spPr>
                <a:solidFill>
                  <a:schemeClr val="bg1"/>
                </a:solidFill>
                <a:ln w="25400">
                  <a:solidFill>
                    <a:schemeClr val="accent2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+mn-c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/>
              <c:numFmt formatCode="General" sourceLinked="1"/>
              <c:spPr>
                <a:solidFill>
                  <a:schemeClr val="bg1"/>
                </a:solidFill>
                <a:ln w="25400">
                  <a:solidFill>
                    <a:schemeClr val="accent3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+mn-c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/>
              <c:numFmt formatCode="General" sourceLinked="1"/>
              <c:spPr>
                <a:solidFill>
                  <a:schemeClr val="bg1"/>
                </a:solidFill>
                <a:ln w="25400">
                  <a:solidFill>
                    <a:schemeClr val="accent4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+mn-c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/>
              <c:numFmt formatCode="General" sourceLinked="1"/>
              <c:spPr>
                <a:solidFill>
                  <a:schemeClr val="bg1"/>
                </a:solidFill>
                <a:ln w="25400">
                  <a:solidFill>
                    <a:schemeClr val="accent5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+mn-c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/>
              <c:numFmt formatCode="General" sourceLinked="1"/>
              <c:spPr>
                <a:solidFill>
                  <a:schemeClr val="bg1"/>
                </a:solidFill>
                <a:ln w="25400">
                  <a:solidFill>
                    <a:schemeClr val="accent6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+mn-c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numFmt formatCode="General" sourceLinked="1"/>
            <c:spPr>
              <a:solidFill>
                <a:schemeClr val="bg1"/>
              </a:solidFill>
              <a:ln w="25400">
                <a:solidFill>
                  <a:schemeClr val="accent1"/>
                </a:solidFill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+mn-cs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{"基础补给+ 用餐 / 临时停放配套","片区到访精准指引（临停 / 取送规则 / 交通信息）","读者权益保障 + 本地生活便民信息","治理联动扫码反馈 + 社区服务报名通道","自助设备简易维修工具 / 应急物资补充","其他"}</c:f>
              <c:strCache>
                <c:ptCount val="6"/>
                <c:pt idx="0">
                  <c:v>基础补给+ 用餐 / 临时停放配套</c:v>
                </c:pt>
                <c:pt idx="1">
                  <c:v>片区到访精准指引（临停 / 取送规则 / 交通信息）</c:v>
                </c:pt>
                <c:pt idx="2">
                  <c:v>读者权益保障 + 本地生活便民信息</c:v>
                </c:pt>
                <c:pt idx="3">
                  <c:v>治理联动扫码反馈 + 社区服务报名通道</c:v>
                </c:pt>
                <c:pt idx="4">
                  <c:v>自助设备简易维修工具 / 应急物资补充</c:v>
                </c:pt>
                <c:pt idx="5">
                  <c:v>其他</c:v>
                </c:pt>
              </c:strCache>
            </c:strRef>
          </c:cat>
          <c:val>
            <c:numRef>
              <c:f>{169,149,122,202,123,118}</c:f>
              <c:numCache>
                <c:formatCode>General</c:formatCode>
                <c:ptCount val="6"/>
                <c:pt idx="0">
                  <c:v>169</c:v>
                </c:pt>
                <c:pt idx="1">
                  <c:v>149</c:v>
                </c:pt>
                <c:pt idx="2">
                  <c:v>122</c:v>
                </c:pt>
                <c:pt idx="3">
                  <c:v>202</c:v>
                </c:pt>
                <c:pt idx="4">
                  <c:v>123</c:v>
                </c:pt>
                <c:pt idx="5">
                  <c:v>118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77"/>
      </c:doughnutChart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db37e59-b1fc-4836-bfb7-9051aa8497d6}"/>
      </c:ext>
    </c:extLst>
  </c:chart>
  <c:spPr>
    <a:solidFill>
      <a:schemeClr val="bg1"/>
    </a:solidFill>
    <a:ln w="6350" cap="flat" cmpd="sng" algn="ctr">
      <a:noFill/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</a:defRPr>
      </a:pPr>
    </a:p>
  </c:txPr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67253121868073"/>
          <c:y val="0.191230207064555"/>
          <c:w val="0.798671514371201"/>
          <c:h val="0.393520097442144"/>
        </c:manualLayout>
      </c:layout>
      <c:barChart>
        <c:barDir val="col"/>
        <c:grouping val="clustered"/>
        <c:varyColors val="0"/>
        <c:ser>
          <c:idx val="0"/>
          <c:order val="0"/>
          <c:spPr>
            <a:gradFill>
              <a:gsLst>
                <a:gs pos="25000">
                  <a:srgbClr val="FF6952"/>
                </a:gs>
                <a:gs pos="75000">
                  <a:srgbClr val="FFD2AC"/>
                </a:gs>
                <a:gs pos="0">
                  <a:srgbClr val="FF3E35"/>
                </a:gs>
                <a:gs pos="100000">
                  <a:srgbClr val="FFE3BE"/>
                </a:gs>
              </a:gsLst>
              <a:lin ang="18900000" scaled="1"/>
            </a:gradFill>
            <a:ln w="12700">
              <a:solidFill>
                <a:schemeClr val="accent1"/>
              </a:solidFill>
            </a:ln>
            <a:effectLst/>
            <a:sp3d contourW="12700"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{"临停 / 设备补给 / 补给/休息点位精准导航","社区 / 商圈取送单规则实时查询","读者维权 / 纠纷处理通道","合作合作书店优惠餐饮信息","服务权益保障求助通道","一键反馈城市公共问题","社区社区服务报名入口","本地交通 / 工作/生活信息实时更新","其他"}</c:f>
              <c:strCache>
                <c:ptCount val="9"/>
                <c:pt idx="0">
                  <c:v>临停 / 设备补给 / 补给/休息点位精准导航</c:v>
                </c:pt>
                <c:pt idx="1">
                  <c:v>社区 / 商圈取送单规则实时查询</c:v>
                </c:pt>
                <c:pt idx="2">
                  <c:v>读者维权 / 纠纷处理通道</c:v>
                </c:pt>
                <c:pt idx="3">
                  <c:v>合作合作书店优惠餐饮信息</c:v>
                </c:pt>
                <c:pt idx="4">
                  <c:v>服务权益保障求助通道</c:v>
                </c:pt>
                <c:pt idx="5">
                  <c:v>一键反馈城市公共问题</c:v>
                </c:pt>
                <c:pt idx="6">
                  <c:v>社区社区服务报名入口</c:v>
                </c:pt>
                <c:pt idx="7">
                  <c:v>本地交通 / 工作/生活信息实时更新</c:v>
                </c:pt>
                <c:pt idx="8">
                  <c:v>其他</c:v>
                </c:pt>
              </c:strCache>
            </c:strRef>
          </c:cat>
          <c:val>
            <c:numRef>
              <c:f>{104,114,259,99,198,213,56,65,4}</c:f>
              <c:numCache>
                <c:formatCode>General</c:formatCode>
                <c:ptCount val="9"/>
                <c:pt idx="0">
                  <c:v>104</c:v>
                </c:pt>
                <c:pt idx="1">
                  <c:v>114</c:v>
                </c:pt>
                <c:pt idx="2">
                  <c:v>259</c:v>
                </c:pt>
                <c:pt idx="3">
                  <c:v>99</c:v>
                </c:pt>
                <c:pt idx="4">
                  <c:v>198</c:v>
                </c:pt>
                <c:pt idx="5">
                  <c:v>213</c:v>
                </c:pt>
                <c:pt idx="6">
                  <c:v>56</c:v>
                </c:pt>
                <c:pt idx="7">
                  <c:v>65</c:v>
                </c:pt>
                <c:pt idx="8">
                  <c:v>4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448"/>
        <c:overlap val="-71"/>
        <c:axId val="588400416"/>
        <c:axId val="585612464"/>
      </c:barChart>
      <c:catAx>
        <c:axId val="588400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0" cap="flat" cmpd="sng" algn="ctr">
            <a:noFill/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+mn-cs"/>
              </a:defRPr>
            </a:pPr>
          </a:p>
        </c:txPr>
        <c:crossAx val="585612464"/>
        <c:crosses val="autoZero"/>
        <c:auto val="1"/>
        <c:lblAlgn val="ctr"/>
        <c:lblOffset val="100"/>
        <c:noMultiLvlLbl val="0"/>
      </c:catAx>
      <c:valAx>
        <c:axId val="58561246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+mn-cs"/>
              </a:defRPr>
            </a:pPr>
          </a:p>
        </c:txPr>
        <c:crossAx val="588400416"/>
        <c:crosses val="autoZero"/>
        <c:crossBetween val="between"/>
      </c:valAx>
      <c:spPr>
        <a:blipFill>
          <a:blip xmlns:r="http://schemas.openxmlformats.org/officeDocument/2006/relationships" r:embed="rId3"/>
          <a:stretch>
            <a:fillRect/>
          </a:stretch>
        </a:blipFill>
        <a:ln>
          <a:noFill/>
        </a:ln>
        <a:effectLst>
          <a:outerShdw blurRad="88900" algn="ctr" rotWithShape="0">
            <a:srgbClr val="5F5F5F">
              <a:alpha val="45000"/>
            </a:srgbClr>
          </a:outerShdw>
        </a:effectLst>
      </c:spPr>
    </c:plotArea>
    <c:plotVisOnly val="1"/>
    <c:dispBlanksAs val="gap"/>
    <c:showDLblsOverMax val="0"/>
    <c:extLst>
      <c:ext uri="{0b15fc19-7d7d-44ad-8c2d-2c3a37ce22c3}">
        <chartProps xmlns="https://web.wps.cn/et/2018/main" chartId="{f7fc2449-d5ef-4227-a366-03ec06181158}"/>
      </c:ext>
    </c:extLst>
  </c:chart>
  <c:spPr>
    <a:solidFill>
      <a:srgbClr val="FFFFFF"/>
    </a:solidFill>
    <a:ln w="6350" cap="flat" cmpd="sng" algn="ctr">
      <a:noFill/>
      <a:round/>
    </a:ln>
    <a:effectLst/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</a:defRPr>
      </a:pPr>
    </a:p>
  </c:txPr>
  <c:externalData r:id="rId1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General" sourceLinked="1"/>
            <c:spPr>
              <a:noFill/>
              <a:ln w="6350">
                <a:solidFill>
                  <a:schemeClr val="accent1"/>
                </a:solidFill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accent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{"读者综合服务服务平台一键提交 / 报名","读者书房或社区补给站二维码扫码参与","微信群按模板发送信息","专属热线反馈","其他"}</c:f>
              <c:strCache>
                <c:ptCount val="5"/>
                <c:pt idx="0">
                  <c:v>读者综合服务服务平台一键提交 / 报名</c:v>
                </c:pt>
                <c:pt idx="1">
                  <c:v>读者书房或社区补给站二维码扫码参与</c:v>
                </c:pt>
                <c:pt idx="2">
                  <c:v>微信群按模板发送信息</c:v>
                </c:pt>
                <c:pt idx="3">
                  <c:v>专属热线反馈</c:v>
                </c:pt>
                <c:pt idx="4">
                  <c:v>其他</c:v>
                </c:pt>
              </c:strCache>
            </c:strRef>
          </c:cat>
          <c:val>
            <c:numRef>
              <c:f>{88,164,112,109,30}</c:f>
              <c:numCache>
                <c:formatCode>General</c:formatCode>
                <c:ptCount val="5"/>
                <c:pt idx="0">
                  <c:v>88</c:v>
                </c:pt>
                <c:pt idx="1">
                  <c:v>164</c:v>
                </c:pt>
                <c:pt idx="2">
                  <c:v>112</c:v>
                </c:pt>
                <c:pt idx="3">
                  <c:v>109</c:v>
                </c:pt>
                <c:pt idx="4">
                  <c:v>30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380"/>
        <c:overlap val="-71"/>
        <c:axId val="588400416"/>
        <c:axId val="585612464"/>
      </c:barChart>
      <c:catAx>
        <c:axId val="588400416"/>
        <c:scaling>
          <c:orientation val="minMax"/>
        </c:scaling>
        <c:delete val="0"/>
        <c:axPos val="l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85612464"/>
        <c:crosses val="autoZero"/>
        <c:auto val="1"/>
        <c:lblAlgn val="ctr"/>
        <c:lblOffset val="100"/>
        <c:noMultiLvlLbl val="0"/>
      </c:catAx>
      <c:valAx>
        <c:axId val="58561246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88400416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7a659575-2062-49c1-84c6-7f5e306fed53}"/>
      </c:ext>
    </c:extLst>
  </c:chart>
  <c:spPr>
    <a:solidFill>
      <a:schemeClr val="bg1"/>
    </a:solidFill>
    <a:ln w="6350" cap="flat" cmpd="sng" algn="ctr">
      <a:noFill/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1029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lt1">
          <a:lumMod val="96000"/>
        </a:schemeClr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>
              <a:alpha val="80000"/>
              <a:hueOff val="-1670000"/>
            </a:schemeClr>
          </a:gs>
          <a:gs pos="100000">
            <a:schemeClr val="phClr">
              <a:alpha val="80000"/>
            </a:schemeClr>
          </a:gs>
        </a:gsLst>
        <a:lin ang="5400000" scaled="0"/>
      </a:gradFill>
      <a:ln>
        <a:gradFill>
          <a:gsLst>
            <a:gs pos="0">
              <a:schemeClr val="phClr">
                <a:lumMod val="75000"/>
                <a:hueOff val="-1670000"/>
              </a:schemeClr>
            </a:gs>
            <a:gs pos="100000">
              <a:schemeClr val="phClr">
                <a:lumMod val="75000"/>
              </a:schemeClr>
            </a:gs>
          </a:gsLst>
          <a:lin ang="5160000" scaled="1"/>
        </a:gra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>
              <a:alpha val="80000"/>
              <a:hueOff val="-1670000"/>
            </a:schemeClr>
          </a:gs>
          <a:gs pos="100000">
            <a:schemeClr val="phClr">
              <a:alpha val="80000"/>
            </a:schemeClr>
          </a:gs>
        </a:gsLst>
        <a:lin ang="5400000" scaled="0"/>
      </a:gradFill>
      <a:ln>
        <a:gradFill>
          <a:gsLst>
            <a:gs pos="0">
              <a:schemeClr val="phClr">
                <a:lumMod val="75000"/>
                <a:hueOff val="-1670000"/>
              </a:schemeClr>
            </a:gs>
            <a:gs pos="100000">
              <a:schemeClr val="phClr">
                <a:lumMod val="75000"/>
              </a:schemeClr>
            </a:gs>
          </a:gsLst>
          <a:lin ang="5160000" scaled="1"/>
        </a:gradFill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dk1">
            <a:lumMod val="75000"/>
            <a:lumOff val="25000"/>
          </a:schemeClr>
        </a:solidFill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1015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>
              <a:lumMod val="40000"/>
              <a:lumOff val="60000"/>
            </a:schemeClr>
          </a:gs>
          <a:gs pos="90000">
            <a:schemeClr val="phClr"/>
          </a:gs>
        </a:gsLst>
        <a:lin ang="10800000" scaled="0"/>
      </a:gradFill>
      <a:ln>
        <a:gradFill>
          <a:gsLst>
            <a:gs pos="0">
              <a:schemeClr val="phClr"/>
            </a:gs>
            <a:gs pos="100000">
              <a:schemeClr val="phClr">
                <a:lumMod val="75000"/>
              </a:schemeClr>
            </a:gs>
          </a:gsLst>
          <a:lin ang="10800000" scaled="0"/>
        </a:gra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101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5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5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5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5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5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5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5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5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自定义 2">
    <a:dk1>
      <a:srgbClr val="000000"/>
    </a:dk1>
    <a:lt1>
      <a:srgbClr val="FFFFFF"/>
    </a:lt1>
    <a:dk2>
      <a:srgbClr val="44546A"/>
    </a:dk2>
    <a:lt2>
      <a:srgbClr val="E7E6E6"/>
    </a:lt2>
    <a:accent1>
      <a:srgbClr val="73ACD0"/>
    </a:accent1>
    <a:accent2>
      <a:srgbClr val="9DD0E7"/>
    </a:accent2>
    <a:accent3>
      <a:srgbClr val="3384B3"/>
    </a:accent3>
    <a:accent4>
      <a:srgbClr val="65A7CD"/>
    </a:accent4>
    <a:accent5>
      <a:srgbClr val="387DB8"/>
    </a:accent5>
    <a:accent6>
      <a:srgbClr val="5F9CCF"/>
    </a:accent6>
    <a:hlink>
      <a:srgbClr val="0026E5"/>
    </a:hlink>
    <a:folHlink>
      <a:srgbClr val="7E1FAD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自定义 188">
    <a:dk1>
      <a:srgbClr val="000000"/>
    </a:dk1>
    <a:lt1>
      <a:srgbClr val="FFFFFF"/>
    </a:lt1>
    <a:dk2>
      <a:srgbClr val="44546A"/>
    </a:dk2>
    <a:lt2>
      <a:srgbClr val="E7E6E6"/>
    </a:lt2>
    <a:accent1>
      <a:srgbClr val="FFC32E"/>
    </a:accent1>
    <a:accent2>
      <a:srgbClr val="FF9E33"/>
    </a:accent2>
    <a:accent3>
      <a:srgbClr val="FF4454"/>
    </a:accent3>
    <a:accent4>
      <a:srgbClr val="006DA0"/>
    </a:accent4>
    <a:accent5>
      <a:srgbClr val="00BFE6"/>
    </a:accent5>
    <a:accent6>
      <a:srgbClr val="00D1DC"/>
    </a:accent6>
    <a:hlink>
      <a:srgbClr val="0026E5"/>
    </a:hlink>
    <a:folHlink>
      <a:srgbClr val="7E1FAD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自定义 52">
    <a:dk1>
      <a:srgbClr val="000000"/>
    </a:dk1>
    <a:lt1>
      <a:srgbClr val="FFFFFF"/>
    </a:lt1>
    <a:dk2>
      <a:srgbClr val="44546A"/>
    </a:dk2>
    <a:lt2>
      <a:srgbClr val="E7E6E6"/>
    </a:lt2>
    <a:accent1>
      <a:srgbClr val="7D6CFF"/>
    </a:accent1>
    <a:accent2>
      <a:srgbClr val="FFA135"/>
    </a:accent2>
    <a:accent3>
      <a:srgbClr val="FF7140"/>
    </a:accent3>
    <a:accent4>
      <a:srgbClr val="FFC413"/>
    </a:accent4>
    <a:accent5>
      <a:srgbClr val="52DAFF"/>
    </a:accent5>
    <a:accent6>
      <a:srgbClr val="54EEBD"/>
    </a:accent6>
    <a:hlink>
      <a:srgbClr val="0026E5"/>
    </a:hlink>
    <a:folHlink>
      <a:srgbClr val="7E1FAD"/>
    </a:folHlink>
  </a:clrScheme>
  <a:fontScheme name="MiSans">
    <a:majorFont>
      <a:latin typeface="MiSans Heavy"/>
      <a:ea typeface="MiSans Heavy"/>
      <a:cs typeface=""/>
    </a:majorFont>
    <a:minorFont>
      <a:latin typeface="MiSans Normal"/>
      <a:ea typeface="MiSans Normal"/>
      <a:cs typeface="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自定义 497">
    <a:dk1>
      <a:srgbClr val="000000"/>
    </a:dk1>
    <a:lt1>
      <a:srgbClr val="FFFFFF"/>
    </a:lt1>
    <a:dk2>
      <a:srgbClr val="44546A"/>
    </a:dk2>
    <a:lt2>
      <a:srgbClr val="E7E6E6"/>
    </a:lt2>
    <a:accent1>
      <a:srgbClr val="3DB8BF"/>
    </a:accent1>
    <a:accent2>
      <a:srgbClr val="7A7D85"/>
    </a:accent2>
    <a:accent3>
      <a:srgbClr val="4D4F57"/>
    </a:accent3>
    <a:accent4>
      <a:srgbClr val="3DB8BF"/>
    </a:accent4>
    <a:accent5>
      <a:srgbClr val="7A7D85"/>
    </a:accent5>
    <a:accent6>
      <a:srgbClr val="4D4F57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彩色2">
    <a:dk1>
      <a:srgbClr val="000000"/>
    </a:dk1>
    <a:lt1>
      <a:srgbClr val="FFFFFF"/>
    </a:lt1>
    <a:dk2>
      <a:srgbClr val="44546A"/>
    </a:dk2>
    <a:lt2>
      <a:srgbClr val="E7E6E6"/>
    </a:lt2>
    <a:accent1>
      <a:srgbClr val="FF5958"/>
    </a:accent1>
    <a:accent2>
      <a:srgbClr val="FABB00"/>
    </a:accent2>
    <a:accent3>
      <a:srgbClr val="AC68FB"/>
    </a:accent3>
    <a:accent4>
      <a:srgbClr val="F75090"/>
    </a:accent4>
    <a:accent5>
      <a:srgbClr val="FF920C"/>
    </a:accent5>
    <a:accent6>
      <a:srgbClr val="ABD50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自定义 48">
    <a:dk1>
      <a:srgbClr val="000000"/>
    </a:dk1>
    <a:lt1>
      <a:srgbClr val="FFFFFF"/>
    </a:lt1>
    <a:dk2>
      <a:srgbClr val="44546A"/>
    </a:dk2>
    <a:lt2>
      <a:srgbClr val="E7E6E6"/>
    </a:lt2>
    <a:accent1>
      <a:srgbClr val="FF7F33"/>
    </a:accent1>
    <a:accent2>
      <a:srgbClr val="6FBDFF"/>
    </a:accent2>
    <a:accent3>
      <a:srgbClr val="4F7FFF"/>
    </a:accent3>
    <a:accent4>
      <a:srgbClr val="FFC619"/>
    </a:accent4>
    <a:accent5>
      <a:srgbClr val="F0423E"/>
    </a:accent5>
    <a:accent6>
      <a:srgbClr val="918AEA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自定义 14">
    <a:dk1>
      <a:srgbClr val="000000"/>
    </a:dk1>
    <a:lt1>
      <a:srgbClr val="FFFFFF"/>
    </a:lt1>
    <a:dk2>
      <a:srgbClr val="44546A"/>
    </a:dk2>
    <a:lt2>
      <a:srgbClr val="E7E6E6"/>
    </a:lt2>
    <a:accent1>
      <a:srgbClr val="FD2131"/>
    </a:accent1>
    <a:accent2>
      <a:srgbClr val="EF7347"/>
    </a:accent2>
    <a:accent3>
      <a:srgbClr val="37BBAA"/>
    </a:accent3>
    <a:accent4>
      <a:srgbClr val="4A83D0"/>
    </a:accent4>
    <a:accent5>
      <a:srgbClr val="984EFC"/>
    </a:accent5>
    <a:accent6>
      <a:srgbClr val="FFD02D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自定义 241">
    <a:dk1>
      <a:srgbClr val="000000"/>
    </a:dk1>
    <a:lt1>
      <a:srgbClr val="FFFFFF"/>
    </a:lt1>
    <a:dk2>
      <a:srgbClr val="44546A"/>
    </a:dk2>
    <a:lt2>
      <a:srgbClr val="E7E6E6"/>
    </a:lt2>
    <a:accent1>
      <a:srgbClr val="F577A1"/>
    </a:accent1>
    <a:accent2>
      <a:srgbClr val="FBBC41"/>
    </a:accent2>
    <a:accent3>
      <a:srgbClr val="92D8DA"/>
    </a:accent3>
    <a:accent4>
      <a:srgbClr val="FD7A5B"/>
    </a:accent4>
    <a:accent5>
      <a:srgbClr val="DCD564"/>
    </a:accent5>
    <a:accent6>
      <a:srgbClr val="8AD5BB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自定义 68">
    <a:dk1>
      <a:srgbClr val="000000"/>
    </a:dk1>
    <a:lt1>
      <a:srgbClr val="FFFFFF"/>
    </a:lt1>
    <a:dk2>
      <a:srgbClr val="44546A"/>
    </a:dk2>
    <a:lt2>
      <a:srgbClr val="E7E6E6"/>
    </a:lt2>
    <a:accent1>
      <a:srgbClr val="FE7B89"/>
    </a:accent1>
    <a:accent2>
      <a:srgbClr val="FFCC25"/>
    </a:accent2>
    <a:accent3>
      <a:srgbClr val="83D686"/>
    </a:accent3>
    <a:accent4>
      <a:srgbClr val="50A2F6"/>
    </a:accent4>
    <a:accent5>
      <a:srgbClr val="27CBBB"/>
    </a:accent5>
    <a:accent6>
      <a:srgbClr val="FE9F2E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自定义 15">
    <a:dk1>
      <a:srgbClr val="000000"/>
    </a:dk1>
    <a:lt1>
      <a:srgbClr val="FFFFFF"/>
    </a:lt1>
    <a:dk2>
      <a:srgbClr val="44546A"/>
    </a:dk2>
    <a:lt2>
      <a:srgbClr val="E7E6E6"/>
    </a:lt2>
    <a:accent1>
      <a:srgbClr val="FFC000"/>
    </a:accent1>
    <a:accent2>
      <a:srgbClr val="9CCC68"/>
    </a:accent2>
    <a:accent3>
      <a:srgbClr val="F06E65"/>
    </a:accent3>
    <a:accent4>
      <a:srgbClr val="5BC5E9"/>
    </a:accent4>
    <a:accent5>
      <a:srgbClr val="53B6B6"/>
    </a:accent5>
    <a:accent6>
      <a:srgbClr val="9B91FF"/>
    </a:accent6>
    <a:hlink>
      <a:srgbClr val="0026E5"/>
    </a:hlink>
    <a:folHlink>
      <a:srgbClr val="7E1FAD"/>
    </a:folHlink>
  </a:clrScheme>
  <a:fontScheme name="Office">
    <a:majorFont>
      <a:latin typeface="Aptos Display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Aptos Narrow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1.xml><?xml version="1.0" encoding="utf-8"?>
<a:themeOverride xmlns:a="http://schemas.openxmlformats.org/drawingml/2006/main">
  <a:clrScheme name="自定义 15">
    <a:dk1>
      <a:srgbClr val="000000"/>
    </a:dk1>
    <a:lt1>
      <a:srgbClr val="FFFFFF"/>
    </a:lt1>
    <a:dk2>
      <a:srgbClr val="44546A"/>
    </a:dk2>
    <a:lt2>
      <a:srgbClr val="E7E6E6"/>
    </a:lt2>
    <a:accent1>
      <a:srgbClr val="FFC000"/>
    </a:accent1>
    <a:accent2>
      <a:srgbClr val="9CCC68"/>
    </a:accent2>
    <a:accent3>
      <a:srgbClr val="F06E65"/>
    </a:accent3>
    <a:accent4>
      <a:srgbClr val="9B91FF"/>
    </a:accent4>
    <a:accent5>
      <a:srgbClr val="5BC5E9"/>
    </a:accent5>
    <a:accent6>
      <a:srgbClr val="53B6B6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2.xml><?xml version="1.0" encoding="utf-8"?>
<a:themeOverride xmlns:a="http://schemas.openxmlformats.org/drawingml/2006/main">
  <a:clrScheme name="党政风">
    <a:dk1>
      <a:srgbClr val="000000"/>
    </a:dk1>
    <a:lt1>
      <a:srgbClr val="FFFFFF"/>
    </a:lt1>
    <a:dk2>
      <a:srgbClr val="44546A"/>
    </a:dk2>
    <a:lt2>
      <a:srgbClr val="E7E6E6"/>
    </a:lt2>
    <a:accent1>
      <a:srgbClr val="DA3B2E"/>
    </a:accent1>
    <a:accent2>
      <a:srgbClr val="A00101"/>
    </a:accent2>
    <a:accent3>
      <a:srgbClr val="F7BF48"/>
    </a:accent3>
    <a:accent4>
      <a:srgbClr val="E8DEB4"/>
    </a:accent4>
    <a:accent5>
      <a:srgbClr val="DD6969"/>
    </a:accent5>
    <a:accent6>
      <a:srgbClr val="BC262A"/>
    </a:accent6>
    <a:hlink>
      <a:srgbClr val="0026E5"/>
    </a:hlink>
    <a:folHlink>
      <a:srgbClr val="7E1FAD"/>
    </a:folHlink>
  </a:clrScheme>
  <a:fontScheme name="Office">
    <a:majorFont>
      <a:latin typeface="Aptos Display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Aptos Narrow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3.xml><?xml version="1.0" encoding="utf-8"?>
<a:themeOverride xmlns:a="http://schemas.openxmlformats.org/drawingml/2006/main">
  <a:clrScheme name="自定义 1">
    <a:dk1>
      <a:srgbClr val="000000"/>
    </a:dk1>
    <a:lt1>
      <a:srgbClr val="FFFFFF"/>
    </a:lt1>
    <a:dk2>
      <a:srgbClr val="212745"/>
    </a:dk2>
    <a:lt2>
      <a:srgbClr val="B4DCFA"/>
    </a:lt2>
    <a:accent1>
      <a:srgbClr val="4E67C8"/>
    </a:accent1>
    <a:accent2>
      <a:srgbClr val="5ECCF3"/>
    </a:accent2>
    <a:accent3>
      <a:srgbClr val="A7EA52"/>
    </a:accent3>
    <a:accent4>
      <a:srgbClr val="5DCEAF"/>
    </a:accent4>
    <a:accent5>
      <a:srgbClr val="FF8021"/>
    </a:accent5>
    <a:accent6>
      <a:srgbClr val="F14124"/>
    </a:accent6>
    <a:hlink>
      <a:srgbClr val="56C7AA"/>
    </a:hlink>
    <a:folHlink>
      <a:srgbClr val="59A8D1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4.xml><?xml version="1.0" encoding="utf-8"?>
<a:themeOverride xmlns:a="http://schemas.openxmlformats.org/drawingml/2006/main">
  <a:clrScheme name="彩色2">
    <a:dk1>
      <a:srgbClr val="000000"/>
    </a:dk1>
    <a:lt1>
      <a:srgbClr val="FFFFFF"/>
    </a:lt1>
    <a:dk2>
      <a:srgbClr val="44546A"/>
    </a:dk2>
    <a:lt2>
      <a:srgbClr val="E7E6E6"/>
    </a:lt2>
    <a:accent1>
      <a:srgbClr val="FF5958"/>
    </a:accent1>
    <a:accent2>
      <a:srgbClr val="FABB00"/>
    </a:accent2>
    <a:accent3>
      <a:srgbClr val="AC68FB"/>
    </a:accent3>
    <a:accent4>
      <a:srgbClr val="F75090"/>
    </a:accent4>
    <a:accent5>
      <a:srgbClr val="FF920C"/>
    </a:accent5>
    <a:accent6>
      <a:srgbClr val="ABD50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5.xml><?xml version="1.0" encoding="utf-8"?>
<a:themeOverride xmlns:a="http://schemas.openxmlformats.org/drawingml/2006/main">
  <a:clrScheme name="科研1">
    <a:dk1>
      <a:srgbClr val="000000"/>
    </a:dk1>
    <a:lt1>
      <a:srgbClr val="FFFFFF"/>
    </a:lt1>
    <a:dk2>
      <a:srgbClr val="44546A"/>
    </a:dk2>
    <a:lt2>
      <a:srgbClr val="E7E6E6"/>
    </a:lt2>
    <a:accent1>
      <a:srgbClr val="264653"/>
    </a:accent1>
    <a:accent2>
      <a:srgbClr val="299E8C"/>
    </a:accent2>
    <a:accent3>
      <a:srgbClr val="E9C46B"/>
    </a:accent3>
    <a:accent4>
      <a:srgbClr val="F2A360"/>
    </a:accent4>
    <a:accent5>
      <a:srgbClr val="E77052"/>
    </a:accent5>
    <a:accent6>
      <a:srgbClr val="2959B6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webExtensions/_rels/webExtension1.xml.rels><?xml version='1.0' encoding='UTF-8' standalone='yes'?>
<Relationships xmlns="http://schemas.openxmlformats.org/package/2006/relationships"><Relationship Id="rId2" Type="http://schemas.openxmlformats.org/officeDocument/2006/relationships/image" Target="../media/image9.png"/><Relationship Id="rId1" Type="http://schemas.openxmlformats.org/officeDocument/2006/relationships/package" Target="../embeddings/Workbook6.xlsx"/></Relationships>
</file>

<file path=word/webExtensions/webExtension1.xml><?xml version="1.0" encoding="utf-8"?>
<wpswe:webExtension xmlns:wpswe="http://www.wps.cn/officeDocument/2018/webExtension" xmlns:webet="https://web.wps.cn/et/2018/main" webet:type="Normal" type="0" webet:id="">
  <wpswe:extSource id="webchart" version="3.0"/>
  <wpswe:properties>
    <wpswe:property key="demoData" value="{&quot;category&quot;:[&quot;第一季度&quot;,&quot;第二季度&quot;,&quot;第三季度&quot;,&quot;第四季度&quot;],&quot;data&quot;:[[&quot;&quot;,&quot;销售额&quot;],[&quot;第一季度&quot;,8.2],[&quot;第二季度&quot;,5.2],[&quot;第三季度&quot;,4.2],[&quot;第四季度&quot;,3.1]],&quot;series&quot;:[&quot;&quot;,&quot;销售额&quot;]}"/>
    <wpswe:property key="extStyle" value="{&quot;series&quot;:[{&quot;emphasis&quot;:{&quot;itemStyle&quot;:{&quot;shadowBlur&quot;:0,&quot;shadowColor&quot;:&quot;rgba(0, 0, 0, 0.5)&quot;,&quot;shadowOffsetX&quot;:0}},&quot;itemStyle&quot;:{&quot;borderColor&quot;:&quot;#ffffff&quot;,&quot;borderWidth&quot;:1.8},&quot;labelLayout&quot;:{&quot;hideOverlap&quot;:false},&quot;roseType&quot;:&quot;radius&quot;,&quot;type&quot;:&quot;pie&quot;}],&quot;tooltip&quot;:{&quot;backgroundColor&quot;:{&quot;rgb&quot;:&quot;rgba(51,51,51,0.7)&quot;,&quot;row&quot;:-1,&quot;themeIndex&quot;:-1,&quot;type&quot;:0},&quot;borderWidth&quot;:0,&quot;confine&quot;:true,&quot;extraCssText&quot;:&quot;max-width: calc(100vw - 36px); overflow: hidden; white-space: nowrap; text-overflow: ellipsis; margin-left: 8px;&quot;}}"/>
    <wpswe:property key="isUseCommonErrorPage" value="false"/>
    <wpswe:property key="loadingImage" value="res:/icons/WebChartLoading_wps.svg"/>
    <wpswe:property key="renderer" value="echarts"/>
    <wpswe:property key="resId" value="40000061"/>
    <wpswe:property key="sourceTheme" value="{&quot;colors&quot;:[&quot;#000000&quot;,&quot;#ffffff&quot;,&quot;#0e2841&quot;,&quot;#e8e8e8&quot;,&quot;#156082&quot;,&quot;#e97132&quot;,&quot;#196b24&quot;,&quot;#0f9ed5&quot;,&quot;#a02b93&quot;,&quot;#4ea72e&quot;,&quot;#467886&quot;,&quot;#96607d&quot;,&quot;#000000&quot;,&quot;#ffffff&quot;,&quot;#0e2841&quot;,&quot;#e8e8e8&quot;],&quot;fonts&quot;:[&quot;等线 Light&quot;,&quot;等线 Light&quot;,&quot;等线&quot;,&quot;等线&quot;]}"/>
    <wpswe:property key="style" value="{&quot;animation&quot;:false,&quot;backgroundColor&quot;:{&quot;rgb&quot;:&quot;#FFFFFF&quot;,&quot;row&quot;:0,&quot;themeIndex&quot;:13,&quot;type&quot;:1},&quot;borderColor&quot;:{&quot;rgb&quot;:&quot;#D9D9D9&quot;,&quot;row&quot;:2,&quot;themeIndex&quot;:13,&quot;type&quot;:1},&quot;global&quot;:{&quot;text&quot;:{&quot;bold&quot;:0,&quot;font&quot;:{&quot;name&quot;:&quot;宋体&quot;,&quot;nameType&quot;:2,&quot;langType&quot;:3},&quot;fontSize&quot;:10,&quot;italic&quot;:0}},&quot;label&quot;:{&quot;formatter&quot;:[&quot;rate&quot;],&quot;position&quot;:&quot;inner&quot;,&quot;show&quot;:true,&quot;textStyle&quot;:{&quot;fontFamily&quot;:{&quot;type&quot;:1,&quot;name&quot;:&quot;&quot;,&quot;themeIndex&quot;:&quot;3&quot;},&quot;fontSize&quot;:10,&quot;fontStyle&quot;:&quot;normal&quot;,&quot;fontWeight&quot;:&quot;normal&quot;,&quot;color&quot;:{&quot;rgb&quot;:&quot;#404040&quot;,&quot;row&quot;:3,&quot;themeIndex&quot;:12,&quot;type&quot;:1}}},&quot;legend&quot;:{&quot;position&quot;:&quot;leftCenter&quot;,&quot;show&quot;:true,&quot;textStyle&quot;:{&quot;fontFamily&quot;:{&quot;type&quot;:1,&quot;name&quot;:&quot;&quot;,&quot;themeIndex&quot;:&quot;3&quot;},&quot;fontSize&quot;:8,&quot;fontStyle&quot;:&quot;normal&quot;,&quot;fontWeight&quot;:&quot;normal&quot;,&quot;color&quot;:{&quot;rgb&quot;:&quot;#595959&quot;,&quot;row&quot;:2,&quot;themeIndex&quot;:12,&quot;type&quot;:1}}},&quot;pieType&quot;:&quot;doughnut-rose&quot;,&quot;propWin&quot;:{&quot;hide&quot;:[&quot;axis&quot;]},&quot;radius&quot;:[&quot;20%&quot;,&quot;100%&quot;],&quot;selectedOffset&quot;:0,&quot;seriesThemeColor&quot;:[&quot;#906BE9&quot;,&quot;#06C0D5&quot;,&quot;#558BF7&quot;,&quot;#FFC800&quot;,&quot;#9ADB00&quot;,&quot;#32C267&quot;],&quot;startAngle&quot;:0,&quot;title&quot;:{&quot;position&quot;:&quot;topCenter&quot;,&quot;show&quot;:true,&quot;text&quot;:&quot;社区共建参与——积分兑换福利偏好&quot;,&quot;textStyle&quot;:{&quot;color&quot;:{&quot;rgb&quot;:&quot;#404040&quot;,&quot;row&quot;:3,&quot;themeIndex&quot;:12,&quot;type&quot;:1},&quot;fontFamily&quot;:{&quot;name&quot;:&quot;宋体&quot;,&quot;themeIndex&quot;:3,&quot;type&quot;:1},&quot;fontSize&quot;:14,&quot;fontStyle&quot;:&quot;normal&quot;,&quot;fontWeight&quot;:&quot;bold&quot;}},&quot;tooltip&quot;:{&quot;show&quot;:true,&quot;textStyle&quot;:{&quot;color&quot;:{&quot;rgb&quot;:&quot;#FFFFFF&quot;,&quot;row&quot;:-1,&quot;themeIndex&quot;:-1,&quot;type&quot;:0},&quot;fontFamily&quot;:{&quot;name&quot;:&quot;宋体&quot;,&quot;themeIndex&quot;:3,&quot;type&quot;:1},&quot;fontSize&quot;:9,&quot;fontStyle&quot;:&quot;normal&quot;,&quot;fontWeight&quot;:&quot;normal&quot;}},&quot;animationDurationUpdate&quot;:1500,&quot;animationDuration&quot;:1500,&quot;animationLoop&quot;:false,&quot;selectedSeriesData&quot;:[0,1,2,3,4,5,6,7,8,9,10,11,12],&quot;selectedCategoryData&quot;:[0],&quot;seriesDir&quot;:&quot;row&quot;,&quot;divideType&quot;:&quot;portrait&quot;,&quot;seriesColor&quot;:{&quot;6&quot;:{&quot;type&quot;:0,&quot;rgb&quot;:&quot;#f6c6ad&quot;,&quot;themeIndex&quot;:5,&quot;row&quot;:2}}}"/>
    <wpswe:property key="themeOverride" value="false"/>
    <wpswe:property key="type" value="2d-pie"/>
  </wpswe:properties>
  <wpswe:watchingCache>
    <wpswe:linkPath>C:/Users/EDY/AppData/Local/Temp/wps.nHprMx/Workbook6.xlsx</wpswe:linkPath>
    <wpswe:dataRange>
      <wpswe:key>webchart</wpswe:key>
      <wpswe:context>Sheet1!$A$2:$B$14</wpswe:context>
      <wpswe:count>13</wpswe:count>
      <wpswe:cells wpswe:idx="0">
        <wpswe:count>2</wpswe:count>
        <wpswe:formatCode>General</wpswe:formatCode>
        <wpswe:cell wpswe:idx="0">
          <wpswe:value>设备补给 / 换电优惠券</wpswe:value>
        </wpswe:cell>
        <wpswe:cell wpswe:idx="1">
          <wpswe:value>101</wpswe:value>
        </wpswe:cell>
      </wpswe:cells>
      <wpswe:cells wpswe:idx="1">
        <wpswe:count>2</wpswe:count>
        <wpswe:formatCode>General</wpswe:formatCode>
        <wpswe:cell wpswe:idx="0">
          <wpswe:value>合作合作书店餐饮优惠券</wpswe:value>
        </wpswe:cell>
        <wpswe:cell wpswe:idx="1">
          <wpswe:value>178</wpswe:value>
        </wpswe:cell>
      </wpswe:cells>
      <wpswe:cells wpswe:idx="2">
        <wpswe:count>2</wpswe:count>
        <wpswe:formatCode>General</wpswe:formatCode>
        <wpswe:cell wpswe:idx="0">
          <wpswe:value>饮用水 / 饮料兑换券</wpswe:value>
        </wpswe:cell>
        <wpswe:cell wpswe:idx="1">
          <wpswe:value>110</wpswe:value>
        </wpswe:cell>
      </wpswe:cells>
      <wpswe:cells wpswe:idx="3">
        <wpswe:count>2</wpswe:count>
        <wpswe:formatCode>General</wpswe:formatCode>
        <wpswe:cell wpswe:idx="0">
          <wpswe:value>雨衣 / 急救包等应急物资</wpswe:value>
        </wpswe:cell>
        <wpswe:cell wpswe:idx="1">
          <wpswe:value>77</wpswe:value>
        </wpswe:cell>
      </wpswe:cells>
      <wpswe:cells wpswe:idx="4">
        <wpswe:count>2</wpswe:count>
        <wpswe:formatCode>General</wpswe:formatCode>
        <wpswe:cell wpswe:idx="0">
          <wpswe:value>手机话费充值券</wpswe:value>
        </wpswe:cell>
        <wpswe:cell wpswe:idx="1">
          <wpswe:value>149</wpswe:value>
        </wpswe:cell>
      </wpswe:cells>
      <wpswe:cells wpswe:idx="5">
        <wpswe:count>2</wpswe:count>
        <wpswe:formatCode>General</wpswe:formatCode>
        <wpswe:cell wpswe:idx="0">
          <wpswe:value>车辆维修 / 打气优惠券</wpswe:value>
        </wpswe:cell>
        <wpswe:cell wpswe:idx="1">
          <wpswe:value>98</wpswe:value>
        </wpswe:cell>
      </wpswe:cells>
      <wpswe:cells wpswe:idx="6">
        <wpswe:count>2</wpswe:count>
        <wpswe:formatCode>General</wpswe:formatCode>
        <wpswe:cell wpswe:idx="0">
          <wpswe:value>商超小额购物券</wpswe:value>
        </wpswe:cell>
        <wpswe:cell wpswe:idx="1">
          <wpswe:value>230</wpswe:value>
        </wpswe:cell>
      </wpswe:cells>
      <wpswe:cells wpswe:idx="7">
        <wpswe:count>2</wpswe:count>
        <wpswe:formatCode>General</wpswe:formatCode>
        <wpswe:cell wpswe:idx="0">
          <wpswe:value>阅读服务平台到访补贴券 ；自助设备免费保养券</wpswe:value>
        </wpswe:cell>
        <wpswe:cell wpswe:idx="1">
          <wpswe:value>111</wpswe:value>
        </wpswe:cell>
      </wpswe:cells>
      <wpswe:cells wpswe:idx="8">
        <wpswe:count>2</wpswe:count>
        <wpswe:formatCode>General</wpswe:formatCode>
        <wpswe:cell wpswe:idx="0">
          <wpswe:value>基础理发优惠券</wpswe:value>
        </wpswe:cell>
        <wpswe:cell wpswe:idx="1">
          <wpswe:value>64</wpswe:value>
        </wpswe:cell>
      </wpswe:cells>
      <wpswe:cells wpswe:idx="9">
        <wpswe:count>2</wpswe:count>
        <wpswe:formatCode>General</wpswe:formatCode>
        <wpswe:cell wpswe:idx="0">
          <wpswe:value>读者意外险抵扣券</wpswe:value>
        </wpswe:cell>
        <wpswe:cell wpswe:idx="1">
          <wpswe:value>56</wpswe:value>
        </wpswe:cell>
      </wpswe:cells>
      <wpswe:cells wpswe:idx="10">
        <wpswe:count>2</wpswe:count>
        <wpswe:formatCode>General</wpswe:formatCode>
        <wpswe:cell wpswe:idx="0">
          <wpswe:value>基础健康检查或咨询服务</wpswe:value>
        </wpswe:cell>
        <wpswe:cell wpswe:idx="1">
          <wpswe:value>120</wpswe:value>
        </wpswe:cell>
      </wpswe:cells>
      <wpswe:cells wpswe:idx="11">
        <wpswe:count>2</wpswe:count>
        <wpswe:formatCode>General</wpswe:formatCode>
        <wpswe:cell wpswe:idx="0">
          <wpswe:value>职业技能培训服务（如短视频、电商基础课）</wpswe:value>
        </wpswe:cell>
        <wpswe:cell wpswe:idx="1">
          <wpswe:value>66</wpswe:value>
        </wpswe:cell>
      </wpswe:cells>
      <wpswe:cells wpswe:idx="12">
        <wpswe:count>2</wpswe:count>
        <wpswe:formatCode>General</wpswe:formatCode>
        <wpswe:cell wpswe:idx="0">
          <wpswe:value>其他</wpswe:value>
        </wpswe:cell>
        <wpswe:cell wpswe:idx="1">
          <wpswe:value>95</wpswe:value>
        </wpswe:cell>
      </wpswe:cells>
    </wpswe:dataRange>
  </wpswe:watchingCache>
  <wpswe:snapshot xmlns:r="http://schemas.openxmlformats.org/officeDocument/2006/relationships" r:embed="rId2"/>
  <wpswe:externalData xmlns:r="http://schemas.openxmlformats.org/officeDocument/2006/relationships" r:id="rId1"/>
  <wpswe:url>https://clientweb.docer.wps.cn/web-chart/v1/web-shape.html#/home</wpswe:url>
  <wpswe:constantSnapshot>false</wpswe:constantSnapshot>
</wpswe:webExtension>
</file>

<file path=docProps/app.xml><?xml version="1.0" encoding="utf-8"?>
<Properties xmlns="http://schemas.openxmlformats.org/officeDocument/2006/extended-properties" xmlns:vt="http://schemas.openxmlformats.org/officeDocument/2006/docPropsVTypes">
  <Template/>
  <Pages>55</Pages>
  <Words>19980</Words>
  <Characters>20414</Characters>
  <Lines>1</Lines>
  <Paragraphs>1</Paragraphs>
  <TotalTime>72</TotalTime>
  <ScaleCrop>false</ScaleCrop>
  <LinksUpToDate>false</LinksUpToDate>
  <CharactersWithSpaces>20548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