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2188F">
      <w:pPr>
        <w:spacing w:before="0" w:after="240" w:lineRule="auto" w:line="240"/>
        <w:jc w:val="center"/>
        <w:rPr>
          <w:rFonts w:hint="eastAsia" w:ascii="黑体" w:hAnsi="黑体" w:eastAsia="黑体"/>
          <w:b/>
          <w:bCs/>
          <w:sz w:val="32"/>
          <w:szCs w:val="32"/>
        </w:rPr>
        <w:snapToGrid w:val="0"/>
      </w:pPr>
      <w:r>
        <w:rPr>
          <w:rFonts w:ascii="Times New Roman" w:hAnsi="Times New Roman" w:eastAsia="黑体"/>
          <w:b/>
          <w:sz w:val="32"/>
        </w:rPr>
        <w:t>华中区域零售项目财务资金异常、库存占用及现金流风险专项核查材料</w:t>
      </w:r>
    </w:p>
    <w:p w14:paraId="689E8D1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before="120" w:after="80"/>
        <w:ind w:firstLineChars="200" w:firstLine="56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一、基本概况</w:t>
      </w:r>
    </w:p>
    <w:p w14:paraId="102ECDF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color w:val="000000"/>
          <w:sz w:val="24"/>
          <w:szCs w:val="24"/>
        </w:rPr>
      </w:pPr>
      <w:r>
        <w:rPr>
          <w:rFonts w:ascii="Times New Roman" w:hAnsi="Times New Roman" w:eastAsia="宋体"/>
          <w:b/>
          <w:sz w:val="24"/>
        </w:rPr>
        <w:t>（一）项目概况</w:t>
      </w:r>
    </w:p>
    <w:p w14:paraId="17B0A3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华中区域零售项目于 2025 年正式启动，定位为服务周边社区的综合线下零售门店，同步开通线上销售渠道。项目采用多方合作运营模式，</w:t>
      </w:r>
      <w:r>
        <w:rPr>
          <w:rFonts w:ascii="Times New Roman" w:hAnsi="Times New Roman" w:eastAsia="宋体"/>
          <w:b/>
          <w:sz w:val="24"/>
        </w:rPr>
        <w:t>远艘零售项目部</w:t>
      </w:r>
      <w:r>
        <w:rPr>
          <w:rFonts w:ascii="Times New Roman" w:hAnsi="Times New Roman" w:eastAsia="宋体"/>
          <w:b w:val="0"/>
          <w:sz w:val="24"/>
        </w:rPr>
        <w:t>为项目主体及实际经营方，</w:t>
      </w:r>
      <w:r>
        <w:rPr>
          <w:rFonts w:ascii="Times New Roman" w:hAnsi="Times New Roman" w:eastAsia="宋体"/>
          <w:b/>
          <w:sz w:val="24"/>
        </w:rPr>
        <w:t>华梅商业运营有限公司</w:t>
      </w:r>
      <w:r>
        <w:rPr>
          <w:rFonts w:ascii="Times New Roman" w:hAnsi="Times New Roman" w:eastAsia="宋体"/>
          <w:b w:val="0"/>
          <w:sz w:val="24"/>
        </w:rPr>
        <w:t>承担项目运营管理职责，</w:t>
      </w:r>
      <w:r>
        <w:rPr>
          <w:rFonts w:ascii="Times New Roman" w:hAnsi="Times New Roman" w:eastAsia="宋体"/>
          <w:b/>
          <w:sz w:val="24"/>
        </w:rPr>
        <w:t>云囍供应链有限公司</w:t>
      </w:r>
      <w:r>
        <w:rPr>
          <w:rFonts w:ascii="Times New Roman" w:hAnsi="Times New Roman" w:eastAsia="宋体"/>
          <w:b w:val="0"/>
          <w:sz w:val="24"/>
        </w:rPr>
        <w:t>负责仓储物流协同，</w:t>
      </w:r>
      <w:r>
        <w:rPr>
          <w:rFonts w:ascii="Times New Roman" w:hAnsi="Times New Roman" w:eastAsia="宋体"/>
          <w:b/>
          <w:sz w:val="24"/>
        </w:rPr>
        <w:t>嘉笔数字商贸有限公司</w:t>
      </w:r>
      <w:r>
        <w:rPr>
          <w:rFonts w:ascii="Times New Roman" w:hAnsi="Times New Roman" w:eastAsia="宋体"/>
          <w:b w:val="0"/>
          <w:sz w:val="24"/>
        </w:rPr>
        <w:t>为线上平台代运营方，安莫管理咨询中心提供财务协查支撑。</w:t>
      </w:r>
    </w:p>
    <w:p w14:paraId="553118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合作初始约定：运营方负责商品采购、供应链对接、门店运营及费用核算；投资方负责启动资金投入、本地门店日常管理与经营协调；项目以月度对账为基准，实现采购、入库、销售、回款、费用结算闭环运营。</w:t>
      </w:r>
    </w:p>
    <w:p w14:paraId="3F7BA4F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color w:val="000000"/>
          <w:sz w:val="24"/>
          <w:szCs w:val="24"/>
        </w:rPr>
      </w:pPr>
      <w:r>
        <w:rPr>
          <w:rFonts w:ascii="Times New Roman" w:hAnsi="Times New Roman" w:eastAsia="宋体"/>
          <w:b/>
          <w:sz w:val="24"/>
        </w:rPr>
        <w:t>（二）核查范围与依据</w:t>
      </w:r>
    </w:p>
    <w:p w14:paraId="2AFDF6B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核查范围：2025 年 1 月 - 11 月项目资金收支、预付款项、平台结算、物流费用、运营服务费、内部资金调拨、库存占用及费用分摊等全流程业务。</w:t>
      </w:r>
    </w:p>
    <w:p w14:paraId="5C0F932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核查依据：项目运营台账、往来对账记录、月度运营报表、资金流转单据、合作沟通资料、库存统计数据表及各方业务协同记录。</w:t>
      </w:r>
    </w:p>
    <w:p w14:paraId="77FEB71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核查说明：本次核查为阶段性事实梳理，部分原始凭证尚待补充核验，暂不作最终责任定性，仅客观列明资金异常线索、核查发现问题、经营影响及风险处置建议。</w:t>
      </w:r>
    </w:p>
    <w:p w14:paraId="0A9BF19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before="120" w:after="80"/>
        <w:ind w:firstLineChars="200" w:firstLine="560"/>
        <w:jc w:val="both"/>
        <w:textAlignment w:val="auto"/>
        <w:rPr>
          <w:rFonts w:hint="eastAsia"/>
          <w:b/>
          <w:bCs/>
          <w:sz w:val="28"/>
          <w:szCs w:val="28"/>
        </w:rPr>
      </w:pPr>
      <w:r>
        <w:rPr>
          <w:rFonts w:ascii="Times New Roman" w:hAnsi="Times New Roman" w:eastAsia="宋体"/>
          <w:b/>
          <w:sz w:val="28"/>
        </w:rPr>
        <w:t>二、关联合作主体及职责边界</w:t>
      </w:r>
    </w:p>
    <w:p w14:paraId="1F2595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本次项目涉及五家核心关联主体，各主体业务职能交叉、数据各自留存，未建立统一对账口径，存在职责边界模糊、数据信息不同步问题，具体如下：</w:t>
      </w:r>
    </w:p>
    <w:tbl>
      <w:tblPr>
        <w:tblW w:w="5000" w:type="pct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1500"/>
        <w:gridCol w:w="1047"/>
        <w:gridCol w:w="2759"/>
        <w:gridCol w:w="2646"/>
      </w:tblGrid>
      <w:tr w14:paraId="0F057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cantSplit/>
        </w:trPr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96DE7D7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b/>
                <w:bCs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02D2D74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b/>
                <w:bCs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合作主体名称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3F2ECEB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b/>
                <w:bCs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核心角色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76102975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b/>
                <w:bCs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主要职责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E5E090C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b/>
                <w:bCs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现存问题</w:t>
            </w:r>
          </w:p>
        </w:tc>
      </w:tr>
      <w:tr w14:paraId="7FBA9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color="auto" w:sz="0" w:space="0"/>
              <w:left w:val="nil" w:sz="0"/>
              <w:bottom w:val="nil" w:color="000000" w:themeColor="text1" w:sz="0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4ECB4B6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 w:color="auto" w:sz="0" w:space="0"/>
              <w:left w:val="nil" w:sz="0"/>
              <w:bottom w:val="nil" w:color="000000" w:themeColor="text1" w:sz="0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4EB200AF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华梅商业运营有限公司</w:t>
            </w:r>
          </w:p>
        </w:tc>
        <w:tc>
          <w:tcPr>
            <w:tcW w:w="0" w:type="auto"/>
            <w:tcBorders>
              <w:top w:val="nil" w:color="auto" w:sz="0" w:space="0"/>
              <w:left w:val="nil" w:sz="0"/>
              <w:bottom w:val="nil" w:color="000000" w:themeColor="text1" w:sz="0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01BF2EA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项目运营方</w:t>
            </w:r>
          </w:p>
        </w:tc>
        <w:tc>
          <w:tcPr>
            <w:tcW w:w="0" w:type="auto"/>
            <w:tcBorders>
              <w:top w:val="nil" w:color="auto" w:sz="0" w:space="0"/>
              <w:left w:val="nil" w:sz="0"/>
              <w:bottom w:val="nil" w:color="000000" w:themeColor="text1" w:sz="0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158B485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采购计划制定、门店运营指导、费用核算分摊</w:t>
            </w:r>
          </w:p>
        </w:tc>
        <w:tc>
          <w:tcPr>
            <w:tcW w:w="0" w:type="auto"/>
            <w:tcBorders>
              <w:top w:val="nil" w:color="auto" w:sz="0" w:space="0"/>
              <w:left w:val="nil" w:sz="0"/>
              <w:bottom w:val="nil" w:color="000000" w:themeColor="text1" w:sz="0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7E8E55A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主导采购与费用列支，费用科目划分不清</w:t>
            </w:r>
          </w:p>
        </w:tc>
      </w:tr>
      <w:tr w14:paraId="069D1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color="000000" w:themeColor="text1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FFD5832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 w:color="000000" w:themeColor="text1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7427AB6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云囍供应链有限公司</w:t>
            </w:r>
          </w:p>
        </w:tc>
        <w:tc>
          <w:tcPr>
            <w:tcW w:w="0" w:type="auto"/>
            <w:tcBorders>
              <w:top w:val="nil" w:color="000000" w:themeColor="text1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62E5877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物流协同方</w:t>
            </w:r>
          </w:p>
        </w:tc>
        <w:tc>
          <w:tcPr>
            <w:tcW w:w="0" w:type="auto"/>
            <w:tcBorders>
              <w:top w:val="nil" w:color="000000" w:themeColor="text1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44176D8D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仓储配送、到货协调、供应商对接</w:t>
            </w:r>
          </w:p>
        </w:tc>
        <w:tc>
          <w:tcPr>
            <w:tcW w:w="0" w:type="auto"/>
            <w:tcBorders>
              <w:top w:val="nil" w:color="000000" w:themeColor="text1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0A19A79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物流单据、配送回单留存不完整</w:t>
            </w:r>
          </w:p>
        </w:tc>
      </w:tr>
      <w:tr w14:paraId="69975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B37D6DF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A95C38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嘉笔数字商贸有限公司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E5B78A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平台代运营方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D323102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线上渠道运营、订单收款、平台结算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F8FACF2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代收销售收入，回款结算周期随意延后</w:t>
            </w:r>
          </w:p>
        </w:tc>
      </w:tr>
      <w:tr w14:paraId="4EB5C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80056F0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712BFFC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远艘零售项目部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AB45785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项目主体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70156D0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门店经营、本地管理、经营资料归集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BA5A28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关键业务数据依赖外部主体，资金管控偏弱</w:t>
            </w:r>
          </w:p>
        </w:tc>
      </w:tr>
      <w:tr w14:paraId="653A2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1D2D57D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377B8B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安莫管理咨询中心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34483E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财务协查方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111C69F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台账整理、往来对账、费用科目梳理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1209C1C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仅协助资料整理，无最终审批决策权</w:t>
            </w:r>
          </w:p>
        </w:tc>
      </w:tr>
    </w:tbl>
    <w:p w14:paraId="4030143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before="120" w:after="80"/>
        <w:ind w:firstLineChars="200" w:firstLine="56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三、专项核查发现资金异常事项经比对</w:t>
      </w:r>
    </w:p>
    <w:p w14:paraId="12BAB0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账户流水、采购台账、平台结算记录及内部往来数据，项目存在提前预付账款、平台收入回流滞后、运营服务费重复计费、费用分摊依据不足、内部资金调拨待核、业务单据缺失六大类异常，涉及多笔大额资金往来：</w:t>
      </w:r>
    </w:p>
    <w:tbl>
      <w:tblPr>
        <w:tblW w:w="5000" w:type="pct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1200"/>
        <w:gridCol w:w="1589"/>
        <w:gridCol w:w="4461"/>
      </w:tblGrid>
      <w:tr w14:paraId="6272B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cantSplit/>
        </w:trPr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6416FB9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发生时间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E96ACE1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业务类型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100F22D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涉及金额（万元）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5AB85FA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异常核心问题</w:t>
            </w:r>
          </w:p>
        </w:tc>
      </w:tr>
      <w:tr w14:paraId="09419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color="auto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CD7ABD8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 w:color="auto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7BF2AD21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开办筹备款</w:t>
            </w:r>
          </w:p>
        </w:tc>
        <w:tc>
          <w:tcPr>
            <w:tcW w:w="0" w:type="auto"/>
            <w:tcBorders>
              <w:top w:val="nil" w:color="auto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06BAD6A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0" w:type="auto"/>
            <w:tcBorders>
              <w:top w:val="nil" w:color="auto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75F1E6E6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门店筹建及系统接入支出，明细凭证资料缺失待补</w:t>
            </w:r>
          </w:p>
        </w:tc>
      </w:tr>
      <w:tr w14:paraId="3FD58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75A9D9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 xml:space="preserve">2 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月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71E3143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供应链预付款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FE9A4DC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320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8B6DB7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提前大额预付货款，付款进度与货物交付、入库验收不匹配</w:t>
            </w:r>
          </w:p>
        </w:tc>
      </w:tr>
      <w:tr w14:paraId="372EB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BDD5B1C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038E0EF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平台结算挂账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F47F310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118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7481E106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线上订单收入滞留平台账户，未按约定回流项目主体，长期挂账</w:t>
            </w:r>
          </w:p>
        </w:tc>
      </w:tr>
      <w:tr w14:paraId="3A206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B071348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40A7524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物流代垫费用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599652B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ECA5ED1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物流配送回单、费用分摊依据留存不完整，无法核验真实性</w:t>
            </w:r>
          </w:p>
        </w:tc>
      </w:tr>
      <w:tr w14:paraId="50690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8C1CA58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4985F25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运营服务费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22E30F6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76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6229509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固定管理费与订单服务费重复计提、重复计费</w:t>
            </w:r>
          </w:p>
        </w:tc>
      </w:tr>
      <w:tr w14:paraId="0E253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76069906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CD5D61C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促销费用分摊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426ED0C5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2A878F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费用归属期间与营销活动确认资料不一致，跨期列支</w:t>
            </w:r>
          </w:p>
        </w:tc>
      </w:tr>
      <w:tr w14:paraId="17F7F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311EC7A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2025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年 </w:t>
            </w: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E24116B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内部资金调拨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B349CBD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210</w:t>
            </w:r>
          </w:p>
        </w:tc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7625D84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内部账户周转调拨用途不明，资金流向及业务背景待核验</w:t>
            </w:r>
          </w:p>
        </w:tc>
      </w:tr>
    </w:tbl>
    <w:p w14:paraId="733E926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（一）预付款提前支付</w:t>
      </w:r>
    </w:p>
    <w:p w14:paraId="111896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大额资金无效占用项目启动阶段以锁定货源、开业铺货为由大额预付供应链款项，未严格执行合同 - 订单 - 入库 - 验收 - 付款闭环流程。部分款项在货物未交付、未验收前提下提前支付，后续到货批次、商品品类、结算发票未能及时闭环，造成账面预付款余额居高不下。 该问题直接挤占项目流动资金，影响门店日常补货、人员薪酬及营销活动投放，滞销商品叠加预付占用，进一步放大资金沉淀风险。</w:t>
      </w:r>
    </w:p>
    <w:p w14:paraId="3053B99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（二）线上平台收入回流滞后</w:t>
      </w:r>
    </w:p>
    <w:p w14:paraId="32D1BD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长期挂账线上销售收入统一由嘉笔数字商贸代收，未按合作约定及时划转至项目主体账户。项目主体无法同步获取订单明细、退款记录、平台扣点及结算凭证，118 万元平台结算款形成长期往来挂账。 造成门店前端有实际销售业绩，但项目经营账户无实际现金流入，销售数据与现金流严重背离，误导采购规模、库存周转及盈利测算判断。</w:t>
      </w:r>
    </w:p>
    <w:p w14:paraId="7B697E4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（三）运营服务费重复计费</w:t>
      </w:r>
    </w:p>
    <w:p w14:paraId="5E09DD1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费用边界混乱76 万元运营服务费存在双重计费问题，既列支固定管理服务费，又在订单服务、系统支持、促销协同科目重复分摊计费。未明确区分基础服务、增值服务、实际垫付及内部管理成本，导致项目成本虚高、利润核算失真。</w:t>
      </w:r>
    </w:p>
    <w:p w14:paraId="36BDFF2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（四）费用分摊及单据管理缺失</w:t>
      </w:r>
    </w:p>
    <w:p w14:paraId="1115F0B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核查溯源困难物流代垫费、促销分摊费存在支撑资料不全、归属期间错位问题；采购、结算、费用审批、资金调拨等关键环节，部分回单、结算单、审批记录未同步归档。各方台账费用名称、金额口径、确认时间不统一，加大账务核对与责任追溯难度。</w:t>
      </w:r>
    </w:p>
    <w:p w14:paraId="56ADB2C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（五）内部资金调拨用途不明</w:t>
      </w:r>
    </w:p>
    <w:p w14:paraId="4694872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资金流向失控2025 年 8 月 210 万元内部账户资金调拨无完整业务说明、审批依据及用途佐证，内部周转缺乏书面授权及流程留痕，资金使用合规性、真实性待专项核验。</w:t>
      </w:r>
    </w:p>
    <w:p w14:paraId="31B47AF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before="120" w:after="80"/>
        <w:ind w:firstLineChars="200" w:firstLine="56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四、业务执行流程偏离及成因分析</w:t>
      </w:r>
    </w:p>
    <w:p w14:paraId="008549E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（一）原约定标准流程合作初期约定实行月度对账制</w:t>
      </w:r>
    </w:p>
    <w:p w14:paraId="6E97E46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运营方提采购计划→项目主体预算审核→供应链发货入库→门店销售记账→凭验收单、回款记录、发票资料统一结算付款，实现全业务闭环管控。</w:t>
      </w:r>
    </w:p>
    <w:p w14:paraId="0BE321A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（二）实际执行流程偏离</w:t>
      </w:r>
    </w:p>
    <w:p w14:paraId="6EE8F53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采购付款前置化：未完成到货验收即提前付款，资金支出早于业务实质落地； 收款账户体外化：线上收入由第三方代收，脱离项目主体资金管控； 费用分摊随意化：无统一分摊规则及明细依据，重复列支、跨期列支频发； 资料归档碎片化：合同、订单、票据、审批单据未同步归档留存。</w:t>
      </w:r>
    </w:p>
    <w:p w14:paraId="2AA70BF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（三）核心成因</w:t>
      </w:r>
    </w:p>
    <w:p w14:paraId="4B95D05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多方合作主体职责交叉，未建立统一对账规则与结算标准； 资金审批管控机制不完善，预付款、代付款、资金调拨缺乏严格复核； 业务、财务、运营数据割裂，信息不同步，资金流向无法实时监控； 缺乏资金共管、固定结算周期等约束机制，第三方代收代付缺乏管控。</w:t>
      </w:r>
    </w:p>
    <w:p w14:paraId="3109652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before="120" w:after="80"/>
        <w:ind w:firstLineChars="200" w:firstLine="56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五、库存占用及现金流压力测算项目高库存叠加资金异常占用</w:t>
      </w:r>
    </w:p>
    <w:p w14:paraId="4686FB5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Chars="200" w:right="0" w:rightChars="0" w:firstLine="480" w:firstLineChars="20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形成持续性现金流承压，2025 年 6-11 月库存规模及资金需求如下：</w:t>
      </w:r>
    </w:p>
    <w:tbl>
      <w:tblPr>
        <w:tblW w:w="5000" w:type="pct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2"/>
        <w:gridCol w:w="2087"/>
        <w:gridCol w:w="3046"/>
        <w:gridCol w:w="2651"/>
      </w:tblGrid>
      <w:tr w14:paraId="39C89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cantSplit/>
        </w:trPr>
        <w:tc>
          <w:tcPr>
            <w:tcW w:w="0" w:type="auto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713FC65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月份</w:t>
            </w:r>
          </w:p>
        </w:tc>
        <w:tc>
          <w:tcPr>
            <w:tcW w:w="1221" w:type="pct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D1F94E8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库存规模（万元）</w:t>
            </w:r>
          </w:p>
        </w:tc>
        <w:tc>
          <w:tcPr>
            <w:tcW w:w="1782" w:type="pct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A71E244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预计周转资金需求（万元）</w:t>
            </w:r>
          </w:p>
        </w:tc>
        <w:tc>
          <w:tcPr>
            <w:tcW w:w="1551" w:type="pct"/>
            <w:tcBorders>
              <w:top w:val="single" w:color="000000" w:themeColor="text1" w:sz="12" w:space="0"/>
              <w:left w:val="nil" w:sz="0"/>
              <w:bottom w:val="single" w:color="000000" w:sz="4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66AD2BA">
            <w:pPr>
              <w:keepNext w:val="0"/>
              <w:keepLines w:val="0"/>
              <w:widowControl/>
              <w:suppressLineNumbers w:val="0"/>
              <w:wordWrap/>
              <w:spacing w:before="0" w:after="0" w:lineRule="auto" w:line="24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风险说明</w:t>
            </w:r>
          </w:p>
        </w:tc>
      </w:tr>
      <w:tr w14:paraId="72A0A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color="auto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DAE2FCD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1221" w:type="pct"/>
            <w:tcBorders>
              <w:top w:val="nil" w:color="auto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E4F1A2B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410</w:t>
            </w:r>
          </w:p>
        </w:tc>
        <w:tc>
          <w:tcPr>
            <w:tcW w:w="1782" w:type="pct"/>
            <w:tcBorders>
              <w:top w:val="nil" w:color="auto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6D590C0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205</w:t>
            </w:r>
          </w:p>
        </w:tc>
        <w:tc>
          <w:tcPr>
            <w:tcW w:w="1551" w:type="pct"/>
            <w:tcBorders>
              <w:top w:val="nil" w:color="auto" w:sz="0" w:space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666EF434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开业备货偏高，商品周转低于预期</w:t>
            </w:r>
          </w:p>
        </w:tc>
      </w:tr>
      <w:tr w14:paraId="5B5FB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3F124ED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1221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C9B29B0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395</w:t>
            </w:r>
          </w:p>
        </w:tc>
        <w:tc>
          <w:tcPr>
            <w:tcW w:w="1782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49DD37F4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198</w:t>
            </w:r>
          </w:p>
        </w:tc>
        <w:tc>
          <w:tcPr>
            <w:tcW w:w="1551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4CE3B811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库存微降，平台回款未足额归集</w:t>
            </w:r>
          </w:p>
        </w:tc>
      </w:tr>
      <w:tr w14:paraId="458B1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EF6DDE9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1221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7FAE212B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382</w:t>
            </w:r>
          </w:p>
        </w:tc>
        <w:tc>
          <w:tcPr>
            <w:tcW w:w="1782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A898BA2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191</w:t>
            </w:r>
          </w:p>
        </w:tc>
        <w:tc>
          <w:tcPr>
            <w:tcW w:w="1551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71D7FC7E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库存结构调整，滞销品资金占用突出</w:t>
            </w:r>
          </w:p>
        </w:tc>
      </w:tr>
      <w:tr w14:paraId="40129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648F395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 xml:space="preserve"> 月</w:t>
            </w:r>
          </w:p>
        </w:tc>
        <w:tc>
          <w:tcPr>
            <w:tcW w:w="1221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33417CB0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401</w:t>
            </w:r>
          </w:p>
        </w:tc>
        <w:tc>
          <w:tcPr>
            <w:tcW w:w="1782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8040C13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200</w:t>
            </w:r>
          </w:p>
        </w:tc>
        <w:tc>
          <w:tcPr>
            <w:tcW w:w="1551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CBFCF70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节前备货增量，采购资金需求骤升</w:t>
            </w:r>
          </w:p>
        </w:tc>
      </w:tr>
      <w:tr w14:paraId="315D2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44CFA10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月</w:t>
            </w:r>
          </w:p>
        </w:tc>
        <w:tc>
          <w:tcPr>
            <w:tcW w:w="1221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6C7619D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376</w:t>
            </w:r>
          </w:p>
        </w:tc>
        <w:tc>
          <w:tcPr>
            <w:tcW w:w="1782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57646FF3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188</w:t>
            </w:r>
          </w:p>
        </w:tc>
        <w:tc>
          <w:tcPr>
            <w:tcW w:w="1551" w:type="pct"/>
            <w:tcBorders>
              <w:top w:val="nil" w:sz="0"/>
              <w:left w:val="nil" w:sz="0"/>
              <w:bottom w:val="nil" w:sz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4A9196DF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促销后库存回落，费用结算未完成</w:t>
            </w:r>
          </w:p>
        </w:tc>
      </w:tr>
      <w:tr w14:paraId="16C66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11406C13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11</w:t>
            </w: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月</w:t>
            </w:r>
          </w:p>
        </w:tc>
        <w:tc>
          <w:tcPr>
            <w:tcW w:w="1221" w:type="pct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71D3D9A1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358</w:t>
            </w:r>
          </w:p>
        </w:tc>
        <w:tc>
          <w:tcPr>
            <w:tcW w:w="1782" w:type="pct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22219812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hint="default" w:ascii="Times New Roman" w:hAnsi="Times New Roman" w:cs="Times New Roman" w:eastAsia="宋体"/>
                <w:b w:val="0"/>
                <w:color w:val="000000"/>
                <w:sz w:val="24"/>
                <w:szCs w:val="24"/>
                <w:lang w:val="en-US" w:eastAsia="zh-CN"/>
              </w:rPr>
              <w:t>179</w:t>
            </w:r>
          </w:p>
        </w:tc>
        <w:tc>
          <w:tcPr>
            <w:tcW w:w="1551" w:type="pct"/>
            <w:tcBorders>
              <w:top w:val="nil" w:sz="0"/>
              <w:left w:val="nil" w:sz="0"/>
              <w:bottom w:val="single" w:color="000000" w:themeColor="text1" w:sz="12" w:space="0"/>
              <w:right w:val="nil" w:sz="0"/>
              <w:insideH w:val="nil" w:sz="0"/>
              <w:insideV w:val="nil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val="clear" w:color="auto" w:fill="FFFFFF"/>
          </w:tcPr>
          <w:p w14:paraId="03215885">
            <w:pPr>
              <w:keepNext w:val="0"/>
              <w:keepLines w:val="0"/>
              <w:widowControl/>
              <w:suppressLineNumbers w:val="0"/>
              <w:spacing w:before="0" w:after="0" w:lineRule="auto" w:line="24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snapToGrid w:val="0"/>
            </w:pPr>
            <w:r>
              <w:rPr>
                <w:rFonts w:ascii="Times New Roman" w:hAnsi="Times New Roman" w:eastAsia="宋体" w:cs="宋体"/>
                <w:b w:val="0"/>
                <w:kern w:val="0"/>
                <w:sz w:val="24"/>
                <w:szCs w:val="24"/>
                <w:lang w:val="en-US" w:eastAsia="zh-CN" w:bidi="ar"/>
              </w:rPr>
              <w:t>库存压力缓解，应收挂账仍需清理</w:t>
            </w:r>
          </w:p>
        </w:tc>
      </w:tr>
    </w:tbl>
    <w:p w14:paraId="66AFA3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整体来看，项目库存虽呈缓慢下降趋势，但降幅远低于资金占用改善速度。叠加预付款占用、平台收入挂账、未结算费用列支，项目长期面临有销售业绩、无可用现金流的困境，日常补货、费用支付、经营周转均受到严重制约。</w:t>
      </w:r>
    </w:p>
    <w:p w14:paraId="5792399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before="120" w:after="80"/>
        <w:ind w:firstLineChars="200" w:firstLine="56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六、资金异常及现金流风险综合影响</w:t>
      </w:r>
    </w:p>
    <w:p w14:paraId="7FF8432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现金流风险：大额预付、收入滞留、资金调拨不明导致流动资金被无效占用，短期周转能力弱化，持续经营存在资金断流隐患；</w:t>
      </w:r>
    </w:p>
    <w:p w14:paraId="40565BF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经营核算风险：重复计费、跨期费用、收入滞后确认，造成成本虚高、利润失真，无法真实反映项目实际经营成果；</w:t>
      </w:r>
    </w:p>
    <w:p w14:paraId="7A4569A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合作协同风险：多方对账口径不一、资料缺失，易引发费用争议、收益分配纠纷，破坏合作稳定性；</w:t>
      </w:r>
    </w:p>
    <w:p w14:paraId="04469D6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left="0" w:right="0" w:firstLineChars="200" w:firstLine="480"/>
        <w:jc w:val="both"/>
        <w:textAlignment w:val="auto"/>
        <w:rPr>
          <w:rStyle w:val="7"/>
          <w:rFonts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</w:rPr>
        <w:t>合规审计风险：资金支付审批依据不足、单据留痕缺失、体外代收资金，后续审计、账务调整及外部核查存在合规隐患。</w:t>
      </w:r>
    </w:p>
    <w:p w14:paraId="1596AA4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before="120" w:after="80"/>
        <w:ind w:firstLineChars="200" w:firstLine="56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七、专项核查整改及风险化解建议</w:t>
      </w:r>
    </w:p>
    <w:p w14:paraId="747724E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（一）全面梳理账务，逐笔核验资金往来</w:t>
      </w:r>
    </w:p>
    <w:p w14:paraId="720031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对 2025 年 1-11 月 85 万开办款、320 万预付款、118 万平台挂账、76 万运营服务费、210 万资金调拨等大额资金逐笔建档，匹配合同、订单、入库单、发票、审批单据，完成全链条溯源核查。</w:t>
      </w:r>
    </w:p>
    <w:p w14:paraId="0C01EE3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（二）规范平台结算，清收滞留挂账资金</w:t>
      </w:r>
    </w:p>
    <w:p w14:paraId="5495582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要求平台代运营方提供完整订单流水、退款明细、扣费凭证及结算台账，明确滞留款项金额及返还时限，建立固定月度结算机制，杜绝收入长期体外滞留。</w:t>
      </w:r>
    </w:p>
    <w:p w14:paraId="0B8BDCF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（三）重构费用科目，清理重复计费项目</w:t>
      </w:r>
    </w:p>
    <w:p w14:paraId="5237B9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对运营服务费、物流费、促销费、系统服务费开展重分类梳理，剔除重复计费、依据不足及跨期列支费用，明确各类服务收费边界与分摊标准。</w:t>
      </w:r>
    </w:p>
    <w:p w14:paraId="7A99D88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（四）建立资金管控机制，实行账户共管</w:t>
      </w:r>
    </w:p>
    <w:p w14:paraId="4C555C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设立项目专用收支共管账户，统一归集线上线下全部营业收入；严格管控预付款、代付款、内部资金调拨，实行书面申请、预算审核、双人复核审批制度。</w:t>
      </w:r>
    </w:p>
    <w:p w14:paraId="5201E48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（五）完善业务流程及资料归档</w:t>
      </w:r>
    </w:p>
    <w:p w14:paraId="30AA2C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恢复订单 - 入库 - 销售 - 回款 - 发票闭环流程，严禁无依据提前付款；统一各方对账口径、费用核算标准；所有业务单据、审批文件、结算凭证同步归档留存。</w:t>
      </w:r>
    </w:p>
    <w:p w14:paraId="008F317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80" w:afterAutospacing="0" w:line="360" w:lineRule="auto"/>
        <w:ind w:left="0" w:right="0" w:firstLineChars="200" w:firstLine="48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sz w:val="24"/>
        </w:rPr>
        <w:t>（六）盘活库存及应收，缓解现金流压力</w:t>
      </w:r>
    </w:p>
    <w:p w14:paraId="231E88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梳理滞销库存制定清库促销方案，加快存货周转；专项清理平台挂账、预付款项、待分摊费用，通过账务调整、款项追偿、费用抵扣等方式盘活沉淀资金。</w:t>
      </w:r>
    </w:p>
    <w:p w14:paraId="5B4E579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 w:before="120" w:after="80"/>
        <w:ind w:firstLineChars="200" w:firstLine="56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/>
          <w:b/>
          <w:sz w:val="28"/>
        </w:rPr>
        <w:t>八、核查结论</w:t>
      </w:r>
    </w:p>
    <w:p w14:paraId="4B2F81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经专项核查，华中区域零售项目存在预付款违规前置、平台收入回流滞后、服务费重复计费、费用分摊无依据、内部资金调拨不明、业务资料留存缺失多项资金异常问题。受上述问题叠加影响，项目库存与资金占用偏高，现金流持续承压，经营核算失真，已形成实质性经营风险与合规风险。</w:t>
      </w:r>
    </w:p>
    <w:p w14:paraId="0699F1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80" w:afterAutospacing="0" w:line="360" w:lineRule="auto"/>
        <w:ind w:right="0" w:rightChars="0" w:firstLineChars="200" w:firstLine="480"/>
        <w:jc w:val="both"/>
        <w:textAlignment w:val="auto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/>
          <w:b w:val="0"/>
          <w:sz w:val="24"/>
        </w:rPr>
        <w:t>建议立即落实账务核查、挂账清收、费用清理、流程重构及资金共管措施，补齐原始凭证及审批留痕资料；对无法提供合理业务依据的异常款项，纳入专项追偿核查，同步完善长效管控机制，防范后续同类资金异常及现金流风险再度发生。</w:t>
      </w:r>
    </w:p>
    <w:p w14:paraId="45A12D6F">
      <w:pPr>
        <w:spacing w:before="0" w:after="0" w:lineRule="auto" w:line="240"/>
        <w:jc w:val="right"/>
        <w:rPr>
          <w:rFonts w:hint="eastAsia"/>
          <w:b/>
          <w:bCs/>
          <w:sz w:val="28"/>
          <w:szCs w:val="28"/>
          <w:lang w:val="en-US" w:eastAsia="zh-CN"/>
        </w:rPr>
        <w:snapToGrid w:val="0"/>
      </w:pPr>
      <w:r>
        <w:rPr>
          <w:rFonts w:ascii="Calibri" w:hAnsi="Calibri" w:eastAsia="宋体"/>
          <w:b/>
          <w:sz w:val="28"/>
        </w:rPr>
        <w:t>核查编制人：</w:t>
      </w:r>
      <w:r>
        <w:rPr>
          <w:rFonts w:ascii="Times New Roman" w:hAnsi="Times New Roman" w:eastAsia="宋体"/>
          <w:b/>
          <w:sz w:val="28"/>
        </w:rPr>
        <w:t>林远芝</w:t>
      </w:r>
    </w:p>
    <w:p w14:paraId="3370E288">
      <w:pPr>
        <w:spacing w:before="0" w:after="0" w:lineRule="auto" w:line="240"/>
        <w:jc w:val="righ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snapToGrid w:val="0"/>
      </w:pPr>
      <w:r>
        <w:rPr>
          <w:rFonts w:ascii="Calibri" w:hAnsi="Calibri" w:eastAsia="宋体"/>
          <w:b/>
          <w:sz w:val="28"/>
        </w:rPr>
        <w:t>编制日期：</w:t>
      </w:r>
      <w:r>
        <w:rPr>
          <w:rFonts w:ascii="Calibri" w:hAnsi="Calibri" w:eastAsia="宋体"/>
          <w:b/>
          <w:sz w:val="28"/>
        </w:rPr>
        <w:t>2026年5月20日</w:t>
      </w:r>
    </w:p>
    <w:sectPr>
      <w:pgSz w:w="11906" w:h="16838"/>
      <w:pgMar w:top="1417" w:right="1587" w:bottom="1247" w:left="1587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7BF45B"/>
    <w:multiLevelType w:val="multilevel"/>
    <w:tmpl w:val="CD7BF4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99B11B0"/>
    <w:multiLevelType w:val="multilevel"/>
    <w:tmpl w:val="099B11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F37D9"/>
    <w:rsid w:val="794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华中区域零售项目财务资金异常、库存占用及现金流风险专项核查材料</dc:title>
  <dc:subject>华中区域零售项目资金与现金流专项核查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