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House Price Index Report</w:t>
      </w:r>
    </w:p>
    <w:p>
      <w:r>
        <w:t>Series: All-Transactions House Price Index for Los Angeles County, CA. Data coverage: 1975-2023, 49 annual observations; Index 2000=100.</w:t>
      </w:r>
    </w:p>
    <w:p>
      <w:r>
        <w:t>Selected observations: 1975 = 16.91; 2006 = 255.34; 2012 = 165.26; 2023 = 375.20.</w:t>
      </w:r>
    </w:p>
    <w:p>
      <w:pPr>
        <w:pStyle w:val="Heading2"/>
      </w:pPr>
      <w:r>
        <w:t>Observed trend</w:t>
      </w:r>
    </w:p>
    <w:p>
      <w:r>
        <w:t>The series has a long-run rise, reaches a pre-financial-crisis high around 2006, declines through roughly 2012, and then rebounds sharply through 2023.</w:t>
      </w:r>
    </w:p>
    <w:p>
      <w:pPr>
        <w:pStyle w:val="Heading2"/>
      </w:pPr>
      <w:r>
        <w:t>2030 prediction</w:t>
      </w:r>
    </w:p>
    <w:p>
      <w:r>
        <w:t>A linear fit to the 2013-2023 observations projects a 2030 index of approximately 489.38.</w:t>
      </w:r>
    </w:p>
    <w:p>
      <w:pPr>
        <w:pStyle w:val="Heading2"/>
      </w:pPr>
      <w:r>
        <w:t>Assumptions</w:t>
      </w:r>
    </w:p>
    <w:p>
      <w:r>
        <w:t>This extrapolation assumes the recent linear trend continues and does not model interest-rate shocks, recessions, supply changes, policy interventions, or other structural breaks; it is a trend estimate rather than a guarantee.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