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House Price Index Prediction for 2030</w:t>
      </w:r>
    </w:p>
    <w:p>
      <w:r>
        <w:t>The image shows a long-run rise in the Los Angeles County house-price index, a peak around 2006, a decline through approximately 2012, and a strong rebound through 2023.</w:t>
      </w:r>
    </w:p>
    <w:p>
      <w:r>
        <w:t>Using a linear trend fitted to the 2013-2023 values visible in the image, the projected 2030 index is approximately 489.38 (Index 2000 = 100).</w:t>
      </w:r>
    </w:p>
    <w:p>
      <w:r>
        <w:t>Assumptions: the recent linear trend continues, the image values are read correctly, and no recession, interest-rate shock, supply shift, or policy change creates a structural break. This is an extrapolation, not a guaranteed forecast.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