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 Satisfaction Analysis</w:t>
      </w:r>
    </w:p>
    <w:p>
      <w:r>
        <w:t>Rows analyzed: 30. Overall mean satisfaction score: 5.57.</w:t>
      </w:r>
    </w:p>
    <w:p>
      <w:r>
        <w:t>Pearson correlation between age and satisfaction: -0.228.</w:t>
      </w:r>
    </w:p>
    <w:p>
      <w:r>
        <w:t>Pearson correlation between income and satisfaction: 0.160.</w:t>
      </w:r>
    </w:p>
    <w:p>
      <w:pPr>
        <w:pStyle w:val="Heading2"/>
      </w:pPr>
      <w:r>
        <w:t>Mean satisfaction by gender</w:t>
      </w:r>
    </w:p>
    <w:p>
      <w:r>
        <w:t>Female: n=14, mean=6.07</w:t>
      </w:r>
    </w:p>
    <w:p>
      <w:r>
        <w:t>Male: n=16, mean=5.12</w:t>
      </w:r>
    </w:p>
    <w:p>
      <w:r>
        <w:t>The observed associations are descriptive and do not establish causality. Sleep hours and weight are not present in the released workbook and were not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