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AI 客服试点评估报告</w:t>
      </w:r>
    </w:p>
    <w:p>
      <w:pPr>
        <w:pStyle w:val="Heading1"/>
      </w:pPr>
      <w:r>
        <w:t>决策摘要</w:t>
      </w:r>
    </w:p>
    <w:p>
      <w:r>
        <w:rPr>
          <w:rFonts w:ascii="Noto Sans CJK SC" w:hAnsi="Noto Sans CJK SC" w:eastAsia="Noto Sans CJK SC"/>
          <w:sz w:val="20"/>
        </w:rPr>
        <w:t>建议有条件扩大到全部售后咨询，但投诉不得自动关闭，下一次复审日期为 2026-10-01。</w:t>
      </w:r>
    </w:p>
    <w:p>
      <w:pPr>
        <w:pStyle w:val="Heading1"/>
      </w:pPr>
      <w:r>
        <w:t>试点结果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指标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试点前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试点后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变化</w:t>
            </w:r>
          </w:p>
        </w:tc>
      </w:tr>
      <w:tr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平均处理时长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12.5 分钟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10.2 分钟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-18.4%</w:t>
            </w:r>
          </w:p>
        </w:tc>
      </w:tr>
      <w:tr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事实准确率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86.7%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92.1%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+5.4pp</w:t>
            </w:r>
          </w:p>
        </w:tc>
      </w:tr>
      <w:tr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人工升级率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14.3%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11.6%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-2.7pp</w:t>
            </w:r>
          </w:p>
        </w:tc>
      </w:tr>
    </w:tbl>
    <w:p>
      <w:pPr>
        <w:pStyle w:val="Heading1"/>
      </w:pPr>
      <w:r>
        <w:t>研究证据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研究 A 支持在高频重复咨询中使用检索增强，并保留人工升级通道。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研究 B 支持引入结构化质检清单。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研究 C 仅支持生成工单初稿，不支持自动关闭投诉。</w:t>
      </w:r>
    </w:p>
    <w:p>
      <w:pPr>
        <w:pStyle w:val="Heading1"/>
      </w:pPr>
      <w:r>
        <w:t>扩展条件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投诉类工单强制人工确认。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每周抽检事实准确率并保持不低于 92.1%。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在 2026-10-01 复审人工升级率和客户投诉率。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