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董事会收入口径差异说明</w:t>
      </w:r>
    </w:p>
    <w:p>
      <w:pPr>
        <w:pStyle w:val="Heading1"/>
      </w:pPr>
      <w:r>
        <w:t>结论</w:t>
      </w:r>
    </w:p>
    <w:p>
      <w:r>
        <w:rPr>
          <w:rFonts w:ascii="Noto Sans CJK SC" w:hAnsi="Noto Sans CJK SC" w:eastAsia="Noto Sans CJK SC"/>
          <w:sz w:val="20"/>
        </w:rPr>
        <w:t>2026 年 7 月权威已确认收入为 1,280,000 元。销售预测为 1,350,000 元，两者相差 70,000 元。</w:t>
      </w:r>
    </w:p>
    <w:p>
      <w:pPr>
        <w:pStyle w:val="Heading1"/>
      </w:pPr>
      <w:r>
        <w:t>差异原因</w:t>
      </w:r>
    </w:p>
    <w:p>
      <w:r>
        <w:rPr>
          <w:rFonts w:ascii="Noto Sans CJK SC" w:hAnsi="Noto Sans CJK SC" w:eastAsia="Noto Sans CJK SC"/>
          <w:sz w:val="20"/>
        </w:rPr>
        <w:t>70,000 元项目尚未验收，不满足收入确认条件，只能保留在预测口径。</w:t>
      </w:r>
    </w:p>
    <w:p>
      <w:pPr>
        <w:pStyle w:val="Heading1"/>
      </w:pPr>
      <w:r>
        <w:t>董事会材料修正</w:t>
      </w:r>
    </w:p>
    <w:p>
      <w:r>
        <w:rPr>
          <w:rFonts w:ascii="Noto Sans CJK SC" w:hAnsi="Noto Sans CJK SC" w:eastAsia="Noto Sans CJK SC"/>
          <w:sz w:val="20"/>
        </w:rPr>
        <w:t>将草稿中的“1,350,000 元已全部确认”修正为“1,280,000 元已确认；70,000 元待验收”。</w:t>
      </w:r>
    </w:p>
    <w:p>
      <w:pPr>
        <w:pStyle w:val="Heading1"/>
      </w:pPr>
      <w:r>
        <w:t>控制建议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董事会实际收入只引用 finance_actual.csv。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预测数据必须显式标注为 Forecast。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