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2026 Q2 区域经营复盘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经营管理会材料｜商业运营部</w:t>
      </w:r>
    </w:p>
    <w:p>
      <w:pPr>
        <w:pStyle w:val="Heading1"/>
      </w:pPr>
      <w:r>
        <w:t>执行摘要</w:t>
      </w:r>
    </w:p>
    <w:p>
      <w:r>
        <w:rPr>
          <w:rFonts w:ascii="Noto Sans CJK SC" w:hAnsi="Noto Sans CJK SC" w:eastAsia="Noto Sans CJK SC"/>
          <w:sz w:val="20"/>
        </w:rPr>
        <w:t>Q2 总收入为 3,000,000 元，同比增长 8.7%。华东以 1,260,000 元和 18% 的同比增速领先；华北同比下降 4%，应列为优先修复区域。</w:t>
      </w:r>
    </w:p>
    <w:p>
      <w:pPr>
        <w:pStyle w:val="Heading1"/>
      </w:pPr>
      <w:r>
        <w:t>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区域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Q2收入（元）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同比增长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续约率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华东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1,260,000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18%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94%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华南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980,000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9%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88%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华北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760,000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-4%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82%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合计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3,000,000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8.7%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88%</w:t>
            </w:r>
          </w:p>
        </w:tc>
      </w:tr>
    </w:tbl>
    <w:p>
      <w:pPr>
        <w:pStyle w:val="Heading1"/>
      </w:pPr>
      <w:r>
        <w:t>客户反馈与诊断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华东：增加月度经营复盘，巩固高续约率。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华南：整合培训材料，建立统一知识库。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华北：上线支持响应慢，是当前最主要的续约风险。</w:t>
      </w:r>
    </w:p>
    <w:p>
      <w:pPr>
        <w:pStyle w:val="Heading1"/>
      </w:pPr>
      <w:r>
        <w:t>下一步行动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行动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负责人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完成时间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建立华北上线支持值班机制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客户成功负责人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2026-07-15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上线统一培训知识库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交付运营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2026-07-31</w:t>
            </w:r>
          </w:p>
        </w:tc>
      </w:tr>
      <w:tr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启动华东月度经营复盘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区域经理</w:t>
            </w:r>
          </w:p>
        </w:tc>
        <w:tc>
          <w:tcPr>
            <w:tcW w:type="dxa" w:w="2436"/>
          </w:tcPr>
          <w:p>
            <w:r>
              <w:rPr>
                <w:rFonts w:ascii="Noto Sans CJK SC" w:hAnsi="Noto Sans CJK SC" w:eastAsia="Noto Sans CJK SC"/>
                <w:sz w:val="18"/>
              </w:rPr>
              <w:t>2026-07-10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