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差旅政策（合并版）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生效日期：2026-09-01</w:t>
      </w:r>
    </w:p>
    <w:p>
      <w:pPr>
        <w:pStyle w:val="Heading1"/>
      </w:pPr>
      <w:r>
        <w:t>住宿</w:t>
      </w:r>
    </w:p>
    <w:p>
      <w:r>
        <w:rPr>
          <w:rFonts w:ascii="Noto Sans CJK SC" w:hAnsi="Noto Sans CJK SC" w:eastAsia="Noto Sans CJK SC"/>
          <w:sz w:val="20"/>
        </w:rPr>
        <w:t>一线城市住宿上限 700 元/晚，其他城市 450 元/晚。</w:t>
      </w:r>
    </w:p>
    <w:p>
      <w:pPr>
        <w:pStyle w:val="Heading1"/>
      </w:pPr>
      <w:r>
        <w:t>交通</w:t>
      </w:r>
    </w:p>
    <w:p>
      <w:r>
        <w:rPr>
          <w:rFonts w:ascii="Noto Sans CJK SC" w:hAnsi="Noto Sans CJK SC" w:eastAsia="Noto Sans CJK SC"/>
          <w:sz w:val="20"/>
        </w:rPr>
        <w:t>高铁行程不超过 6 小时应选择二等座。</w:t>
      </w:r>
    </w:p>
    <w:p>
      <w:pPr>
        <w:pStyle w:val="Heading1"/>
      </w:pPr>
      <w:r>
        <w:t>审批</w:t>
      </w:r>
    </w:p>
    <w:p>
      <w:r>
        <w:rPr>
          <w:rFonts w:ascii="Noto Sans CJK SC" w:hAnsi="Noto Sans CJK SC" w:eastAsia="Noto Sans CJK SC"/>
          <w:sz w:val="20"/>
        </w:rPr>
        <w:t>出差前由直属经理审批；预算超过 5,000 元需部门负责人复核。</w:t>
      </w:r>
    </w:p>
    <w:p>
      <w:pPr>
        <w:pStyle w:val="Heading1"/>
      </w:pPr>
      <w:r>
        <w:t>碳排披露</w:t>
      </w:r>
    </w:p>
    <w:p>
      <w:r>
        <w:rPr>
          <w:rFonts w:ascii="Noto Sans CJK SC" w:hAnsi="Noto Sans CJK SC" w:eastAsia="Noto Sans CJK SC"/>
          <w:sz w:val="20"/>
        </w:rPr>
        <w:t>跨省出差须在报销时填写交通方式。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