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差旅政策版本差异</w:t>
      </w:r>
    </w:p>
    <w:p>
      <w:pPr>
        <w:pStyle w:val="Heading1"/>
      </w:pPr>
      <w:r>
        <w:t>v1 与 v2 差异矩阵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条款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v1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v2/合并决定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一线城市住宿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600 元/晚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700 元/晚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其他城市住宿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400 元/晚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450 元/晚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高铁时长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5 小时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6 小时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大额预算审批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无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超过 5,000 元需复核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碳排披露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无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新增交通方式披露</w:t>
            </w:r>
          </w:p>
        </w:tc>
      </w:tr>
    </w:tbl>
    <w:p>
      <w:pPr>
        <w:pStyle w:val="Heading1"/>
      </w:pPr>
      <w:r>
        <w:t>合并原则</w:t>
      </w:r>
    </w:p>
    <w:p>
      <w:r>
        <w:rPr>
          <w:rFonts w:ascii="Noto Sans CJK SC" w:hAnsi="Noto Sans CJK SC" w:eastAsia="Noto Sans CJK SC"/>
          <w:sz w:val="20"/>
        </w:rPr>
        <w:t>合并版以 v2 为最新政策事实，并通过差异表保留 v1 的历史信息。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