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/>
          <w:sz w:val="21"/>
        </w:rPr>
        <w:t>2026 年客户服务经营分析报告</w:t>
      </w:r>
    </w:p>
    <w:p>
      <w:r>
        <w:rPr>
          <w:rFonts w:ascii="微软雅黑" w:hAnsi="微软雅黑"/>
          <w:sz w:val="21"/>
        </w:rPr>
        <w:t>数据口径：2026 年1–12月合成月度经营数据；本报告不包含外部市场推断。</w:t>
      </w:r>
    </w:p>
    <w:p>
      <w:pPr>
        <w:pStyle w:val="Heading1"/>
      </w:pPr>
      <w:r>
        <w:rPr>
          <w:rFonts w:ascii="微软雅黑" w:hAnsi="微软雅黑"/>
          <w:sz w:val="21"/>
        </w:rPr>
        <w:t>执行摘要</w:t>
      </w:r>
    </w:p>
    <w:p>
      <w:r>
        <w:rPr>
          <w:rFonts w:ascii="微软雅黑" w:hAnsi="微软雅黑"/>
          <w:sz w:val="21"/>
        </w:rPr>
        <w:t>全年处理 110,400 个工单，平均 SLA 达成率 93.23%，加权平均 CSAT 4.48。全年收入 ¥16,755,000.00，服务成本 ¥10,089,000.00，利润 ¥6,666,000.00，利润率 39.79%。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全年工单量</w:t>
            </w:r>
          </w:p>
        </w:tc>
        <w:tc>
          <w:tcPr>
            <w:tcW w:type="dxa" w:w="4320"/>
          </w:tcPr>
          <w:p>
            <w:r>
              <w:t>110,400</w:t>
            </w:r>
          </w:p>
        </w:tc>
      </w:tr>
      <w:tr>
        <w:tc>
          <w:tcPr>
            <w:tcW w:type="dxa" w:w="4320"/>
          </w:tcPr>
          <w:p>
            <w:r>
              <w:t>平均 SLA</w:t>
            </w:r>
          </w:p>
        </w:tc>
        <w:tc>
          <w:tcPr>
            <w:tcW w:type="dxa" w:w="4320"/>
          </w:tcPr>
          <w:p>
            <w:r>
              <w:t>93.23%</w:t>
            </w:r>
          </w:p>
        </w:tc>
      </w:tr>
      <w:tr>
        <w:tc>
          <w:tcPr>
            <w:tcW w:type="dxa" w:w="4320"/>
          </w:tcPr>
          <w:p>
            <w:r>
              <w:t>加权 CSAT</w:t>
            </w:r>
          </w:p>
        </w:tc>
        <w:tc>
          <w:tcPr>
            <w:tcW w:type="dxa" w:w="4320"/>
          </w:tcPr>
          <w:p>
            <w:r>
              <w:t>4.48</w:t>
            </w:r>
          </w:p>
        </w:tc>
      </w:tr>
      <w:tr>
        <w:tc>
          <w:tcPr>
            <w:tcW w:type="dxa" w:w="4320"/>
          </w:tcPr>
          <w:p>
            <w:r>
              <w:t>流失客户数</w:t>
            </w:r>
          </w:p>
        </w:tc>
        <w:tc>
          <w:tcPr>
            <w:tcW w:type="dxa" w:w="4320"/>
          </w:tcPr>
          <w:p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全年利润</w:t>
            </w:r>
          </w:p>
        </w:tc>
        <w:tc>
          <w:tcPr>
            <w:tcW w:type="dxa" w:w="4320"/>
          </w:tcPr>
          <w:p>
            <w:r>
              <w:t>¥6,666,000.00</w:t>
            </w:r>
          </w:p>
        </w:tc>
      </w:tr>
    </w:tbl>
    <w:p>
      <w:pPr>
        <w:pStyle w:val="Heading1"/>
      </w:pPr>
      <w:r>
        <w:rPr>
          <w:rFonts w:ascii="微软雅黑" w:hAnsi="微软雅黑"/>
          <w:sz w:val="21"/>
        </w:rPr>
        <w:t>关键发现</w:t>
      </w:r>
    </w:p>
    <w:p>
      <w:r>
        <w:rPr>
          <w:rFonts w:ascii="微软雅黑" w:hAnsi="微软雅黑"/>
          <w:sz w:val="21"/>
        </w:rPr>
        <w:t>SLA 最低月份为 2026-06，达成率 90.50%；与全年平均值相比明显偏低。</w:t>
      </w:r>
    </w:p>
    <w:p>
      <w:r>
        <w:rPr>
          <w:rFonts w:ascii="微软雅黑" w:hAnsi="微软雅黑"/>
          <w:sz w:val="21"/>
        </w:rPr>
        <w:t>利润最低月份为 2026-06，当月利润 ¥505,000.00。</w:t>
      </w:r>
    </w:p>
    <w:p>
      <w:r>
        <w:rPr>
          <w:rFonts w:ascii="微软雅黑" w:hAnsi="微软雅黑"/>
          <w:sz w:val="21"/>
        </w:rPr>
        <w:t>全年流失客户 298 个，SLA 较低的 5–7 月同时出现 CSAT 下探，应优先复盘人力排班和工单分流。</w:t>
      </w:r>
    </w:p>
    <w:p>
      <w:pPr>
        <w:pStyle w:val="Heading1"/>
      </w:pPr>
      <w:r>
        <w:rPr>
          <w:rFonts w:ascii="微软雅黑" w:hAnsi="微软雅黑"/>
          <w:sz w:val="21"/>
        </w:rPr>
        <w:t>改进建议</w:t>
      </w:r>
    </w:p>
    <w:p>
      <w:r>
        <w:rPr>
          <w:rFonts w:ascii="微软雅黑" w:hAnsi="微软雅黑"/>
          <w:sz w:val="21"/>
        </w:rPr>
        <w:t>1. 针对 5–7 月工单高峰，按周追踪未结工单和超时原因，设置 SLA 预警阈值。</w:t>
      </w:r>
    </w:p>
    <w:p>
      <w:r>
        <w:rPr>
          <w:rFonts w:ascii="微软雅黑" w:hAnsi="微软雅黑"/>
          <w:sz w:val="21"/>
        </w:rPr>
        <w:t>2. 将高频问题建立标准回复和分流规则，以缩短首次响应和解决时间。</w:t>
      </w:r>
    </w:p>
    <w:p>
      <w:r>
        <w:rPr>
          <w:rFonts w:ascii="微软雅黑" w:hAnsi="微软雅黑"/>
          <w:sz w:val="21"/>
        </w:rPr>
        <w:t>3. 对当月低分 CSAT 样本开展分层回访，每月向责任团队反馈前三类根因。</w:t>
      </w:r>
    </w:p>
    <w:p>
      <w:r>
        <w:rPr>
          <w:rFonts w:ascii="微软雅黑" w:hAnsi="微软雅黑"/>
          <w:sz w:val="21"/>
        </w:rPr>
        <w:t>4. 将月度利润与 SLA/CSAT 同时纳入经营会，防止单纯压降成本损害服务质量。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