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w:body><w:p><w:pPr><w:spacing w:after="800" w:before="0"/></w:pPr><w:r><w:rPr><w:sz w:val="22"/><w:szCs w:val="22"/></w:rPr><w:t xml:space="preserve"/></w:r></w:p><w:p><w:pPr><w:spacing w:after="120" w:before="0"/><w:jc w:val="center"/></w:pPr><w:r><w:rPr><w:b/><w:bCs/><w:color w:val="1E3A5F"/><w:sz w:val="48"/><w:szCs w:val="48"/></w:rPr><w:t xml:space="preserve">GoEMed.com</w:t></w:r></w:p><w:p><w:pPr><w:spacing w:after="400" w:before="0"/><w:jc w:val="center"/></w:pPr><w:r><w:rPr><w:color w:val="2E6DA4"/><w:sz w:val="28"/><w:szCs w:val="28"/></w:rPr><w:t xml:space="preserve">Mathematics &amp; Statistics Internship Program</w:t></w:r></w:p><w:p><w:pPr><w:spacing w:after="80" w:before="0"/><w:jc w:val="center"/></w:pPr><w:r><w:rPr><w:b/><w:bCs/><w:color w:val="1E3A5F"/><w:sz w:val="40"/><w:szCs w:val="40"/></w:rPr><w:t xml:space="preserve">Synthetic Health Data Generation &amp;</w:t></w:r></w:p><w:p><w:pPr><w:spacing w:after="400" w:before="0"/><w:jc w:val="center"/></w:pPr><w:r><w:rPr><w:b/><w:bCs/><w:color w:val="1E3A5F"/><w:sz w:val="40"/><w:szCs w:val="40"/></w:rPr><w:t xml:space="preserve">Small Language Model Training</w:t></w:r></w:p><w:p><w:pPr><w:spacing w:after="600" w:before="0"/><w:jc w:val="center"/></w:pPr><w:r><w:rPr><w:i/><w:iCs/><w:color w:val="595959"/><w:sz w:val="28"/><w:szCs w:val="28"/></w:rPr><w:t xml:space="preserve">Final Internship Report</w:t></w:r></w:p><w:p><w:pPr><w:spacing w:after="100" w:before="0"/><w:jc w:val="center"/></w:pPr><w:r><w:rPr><w:b/><w:bCs/><w:color w:val="1E3A5F"/><w:sz w:val="26"/><w:szCs w:val="26"/></w:rPr><w:t xml:space="preserve">Deepak Badri</w:t></w:r></w:p><w:p><w:pPr><w:spacing w:after="100" w:before="0"/><w:jc w:val="center"/></w:pPr><w:r><w:rPr><w:color w:val="595959"/><w:sz w:val="24"/><w:szCs w:val="24"/></w:rPr><w:t xml:space="preserve">Mathematics &amp; Statistics Intern</w:t></w:r></w:p><w:p><w:pPr><w:spacing w:after="300" w:before="0"/><w:jc w:val="center"/></w:pPr><w:r><w:rPr><w:color w:val="595959"/><w:sz w:val="24"/><w:szCs w:val="24"/></w:rPr><w:t xml:space="preserve">University of Wisconsin–Madison</w:t></w:r></w:p><w:p><w:pPr><w:spacing w:after="100" w:before="0"/><w:jc w:val="center"/></w:pPr><w:r><w:rPr><w:color w:val="595959"/><w:sz w:val="24"/><w:szCs w:val="24"/></w:rPr><w:t xml:space="preserve">Supervisor: Badri Viswanathan</w:t></w:r></w:p><w:p><w:pPr><w:spacing w:after="100" w:before="0"/><w:jc w:val="center"/></w:pPr><w:r><w:rPr><w:color w:val="595959"/><w:sz w:val="24"/><w:szCs w:val="24"/></w:rPr><w:t xml:space="preserve">Summer 2026</w:t></w:r></w:p><w:p><w:pPr><w:spacing w:after="100" w:before="0"/><w:jc w:val="center"/></w:pPr><w:r><w:rPr><w:color w:val="2E6DA4"/><w:sz w:val="22"/><w:szCs w:val="22"/></w:rPr><w:t xml:space="preserve">GitHub: github.com/Deepak-Badri/goemed-synthetic-slm</w:t></w:r></w:p><w:p><w:pPr><w:spacing w:after="0" w:before="0"/><w:jc w:val="center"/></w:pPr><w:r><w:rPr><w:color w:val="2E6DA4"/><w:sz w:val="22"/><w:szCs w:val="22"/></w:rPr><w:t xml:space="preserve">API Endpoint: http://52.91.134.254:8000</w:t></w:r></w:p><w:p><w:r><w:br w:type="page"/></w:r></w:p><w:p><w:pPr><w:pStyle w:val="Heading1"/><w:spacing w:after="200" w:before="400"/><w:rPr><w:b/><w:bCs/><w:color w:val="1E3A5F"/><w:sz w:val="28"/><w:szCs w:val="28"/></w:rPr></w:pPr><w:r><w:t xml:space="preserve">Executive Summary</w:t></w:r></w:p><w:p><w:pPr><w:spacing w:after="120" w:before="80" w:line="276" w:lineRule="auto"/><w:ind/><w:jc w:val="both"/></w:pPr><w:r><w:rPr><w:b w:val="false"/><w:bCs w:val="false"/><w:i w:val="false"/><w:iCs w:val="false"/><w:color w:val="000000"/><w:sz w:val="22"/><w:szCs w:val="22"/></w:rPr><w:t xml:space="preserve">This report documents the design, implementation, validation, and deployment of a synthetic health data generation pipeline and a fine-tuned Small Language Model (SLM) for multi-label health condition prediction, developed during a Summer 2026 Mathematics &amp; Statistics Internship at GoEMed.com.</w:t></w:r></w:p><w:p><w:pPr><w:spacing w:after="120" w:before="80" w:line="276" w:lineRule="auto"/><w:ind/><w:jc w:val="both"/></w:pPr><w:r><w:rPr><w:b w:val="false"/><w:bCs w:val="false"/><w:i w:val="false"/><w:iCs w:val="false"/><w:color w:val="000000"/><w:sz w:val="22"/><w:szCs w:val="22"/></w:rPr><w:t xml:space="preserve">GoEMed operates a direct-pay healthcare marketplace connecting patients with transparent-priced medical services. The ability to identify a patient's health risk profile — without requiring access to protected health information — represents a significant competitive opportunity. This project addresses that opportunity by building a privacy-preserving pipeline that generates statistically rigorous synthetic patient records and trains a clinical language model capable of predicting 11 health conditions from a structured patient profile.</w:t></w:r></w:p><w:p><w:pPr><w:spacing w:after="200" w:before="0"/></w:pPr><w:r><w:rPr><w:sz w:val="22"/><w:szCs w:val="22"/></w:rPr><w:t xml:space="preserve"/></w:r></w:p><w:p><w:pPr><w:pStyle w:val="Heading2"/><w:spacing w:after="150" w:before="300"/><w:rPr><w:b/><w:bCs/><w:color w:val="2E6DA4"/><w:sz w:val="24"/><w:szCs w:val="24"/></w:rPr></w:pPr><w:r><w:t xml:space="preserve">Key Results</w:t></w:r></w:p><w:tbl><w:tblPr><w:tblW w:type="dxa" w:w="9600"/><w:tblBorders><w:top w:val="single" w:color="auto" w:sz="4"/><w:left w:val="single" w:color="auto" w:sz="4"/><w:bottom w:val="single" w:color="auto" w:sz="4"/><w:right w:val="single" w:color="auto" w:sz="4"/><w:insideH w:val="single" w:color="auto" w:sz="4"/><w:insideV w:val="single" w:color="auto" w:sz="4"/></w:tblBorders></w:tblPr><w:tblGrid><w:gridCol w:w="4000"/><w:gridCol w:w="2800"/><w:gridCol w:w="2800"/></w:tblGrid><w:tr><w:trPr><w:tblHeader/></w:trPr><w:tc><w:tcPr><w:tcW w:type="dxa" w:w="4000"/><w:shd w:fill="1E3A5F" w:color="auto" w:val="clear"/></w:tcPr><w:p><w:pPr><w:spacing w:after="60" w:before="60"/><w:jc w:val="center"/></w:pPr><w:r><w:rPr><w:b/><w:bCs/><w:color w:val="FFFFFF"/><w:sz w:val="20"/><w:szCs w:val="20"/></w:rPr><w:t xml:space="preserve">Metric</w:t></w:r></w:p></w:tc><w:tc><w:tcPr><w:tcW w:type="dxa" w:w="2800"/><w:shd w:fill="1E3A5F" w:color="auto" w:val="clear"/></w:tcPr><w:p><w:pPr><w:spacing w:after="60" w:before="60"/><w:jc w:val="center"/></w:pPr><w:r><w:rPr><w:b/><w:bCs/><w:color w:val="FFFFFF"/><w:sz w:val="20"/><w:szCs w:val="20"/></w:rPr><w:t xml:space="preserve">Result</w:t></w:r></w:p></w:tc><w:tc><w:tcPr><w:tcW w:type="dxa" w:w="2800"/><w:shd w:fill="1E3A5F" w:color="auto" w:val="clear"/></w:tcPr><w:p><w:pPr><w:spacing w:after="60" w:before="60"/><w:jc w:val="center"/></w:pPr><w:r><w:rPr><w:b/><w:bCs/><w:color w:val="FFFFFF"/><w:sz w:val="20"/><w:szCs w:val="20"/></w:rPr><w:t xml:space="preserve">Benchmark</w:t></w:r></w:p></w:tc></w:tr><w:tr><w:tc><w:tcPr><w:tcW w:type="dxa" w:w="4000"/><w:shd w:fill="FFFFFF" w:color="auto" w:val="clear"/></w:tcPr><w:p><w:pPr><w:spacing w:after="60" w:before="60"/><w:jc w:val="left"/></w:pPr><w:r><w:rPr><w:sz w:val="20"/><w:szCs w:val="20"/></w:rPr><w:t xml:space="preserve">Synthetic dataset size</w:t></w:r></w:p></w:tc><w:tc><w:tcPr><w:tcW w:type="dxa" w:w="2800"/><w:shd w:fill="FFFFFF" w:color="auto" w:val="clear"/></w:tcPr><w:p><w:pPr><w:spacing w:after="60" w:before="60"/><w:jc w:val="center"/></w:pPr><w:r><w:rPr><w:sz w:val="20"/><w:szCs w:val="20"/></w:rPr><w:t xml:space="preserve">100,000 records</w:t></w:r></w:p></w:tc><w:tc><w:tcPr><w:tcW w:type="dxa" w:w="2800"/><w:shd w:fill="FFFFFF" w:color="auto" w:val="clear"/></w:tcPr><w:p><w:pPr><w:spacing w:after="60" w:before="60"/><w:jc w:val="center"/></w:pPr><w:r><w:rPr><w:sz w:val="20"/><w:szCs w:val="20"/></w:rPr><w:t xml:space="preserve">—</w:t></w:r></w:p></w:tc></w:tr><w:tr><w:tc><w:tcPr><w:tcW w:type="dxa" w:w="4000"/><w:shd w:fill="F2F2F2" w:color="auto" w:val="clear"/></w:tcPr><w:p><w:pPr><w:spacing w:after="60" w:before="60"/><w:jc w:val="left"/></w:pPr><w:r><w:rPr><w:sz w:val="20"/><w:szCs w:val="20"/></w:rPr><w:t xml:space="preserve">Condition labels calibrated</w:t></w:r></w:p></w:tc><w:tc><w:tcPr><w:tcW w:type="dxa" w:w="2800"/><w:shd w:fill="F2F2F2" w:color="auto" w:val="clear"/></w:tcPr><w:p><w:pPr><w:spacing w:after="60" w:before="60"/><w:jc w:val="center"/></w:pPr><w:r><w:rPr><w:sz w:val="20"/><w:szCs w:val="20"/></w:rPr><w:t xml:space="preserve">11/11 within ±5%</w:t></w:r></w:p></w:tc><w:tc><w:tcPr><w:tcW w:type="dxa" w:w="2800"/><w:shd w:fill="F2F2F2" w:color="auto" w:val="clear"/></w:tcPr><w:p><w:pPr><w:spacing w:after="60" w:before="60"/><w:jc w:val="center"/></w:pPr><w:r><w:rPr><w:sz w:val="20"/><w:szCs w:val="20"/></w:rPr><w:t xml:space="preserve">Published CDC/AHA rates</w:t></w:r></w:p></w:tc></w:tr><w:tr><w:tc><w:tcPr><w:tcW w:type="dxa" w:w="4000"/><w:shd w:fill="FFFFFF" w:color="auto" w:val="clear"/></w:tcPr><w:p><w:pPr><w:spacing w:after="60" w:before="60"/><w:jc w:val="left"/></w:pPr><w:r><w:rPr><w:sz w:val="20"/><w:szCs w:val="20"/></w:rPr><w:t xml:space="preserve">Validation — Frobenius norm</w:t></w:r></w:p></w:tc><w:tc><w:tcPr><w:tcW w:type="dxa" w:w="2800"/><w:shd w:fill="FFFFFF" w:color="auto" w:val="clear"/></w:tcPr><w:p><w:pPr><w:spacing w:after="60" w:before="60"/><w:jc w:val="center"/></w:pPr><w:r><w:rPr><w:sz w:val="20"/><w:szCs w:val="20"/></w:rPr><w:t xml:space="preserve">1.917</w:t></w:r></w:p></w:tc><w:tc><w:tcPr><w:tcW w:type="dxa" w:w="2800"/><w:shd w:fill="FFFFFF" w:color="auto" w:val="clear"/></w:tcPr><w:p><w:pPr><w:spacing w:after="60" w:before="60"/><w:jc w:val="center"/></w:pPr><w:r><w:rPr><w:sz w:val="20"/><w:szCs w:val="20"/></w:rPr><w:t xml:space="preserve">Threshold &lt; 2.0 ✅</w:t></w:r></w:p></w:tc></w:tr><w:tr><w:tc><w:tcPr><w:tcW w:type="dxa" w:w="4000"/><w:shd w:fill="F2F2F2" w:color="auto" w:val="clear"/></w:tcPr><w:p><w:pPr><w:spacing w:after="60" w:before="60"/><w:jc w:val="left"/></w:pPr><w:r><w:rPr><w:sz w:val="20"/><w:szCs w:val="20"/></w:rPr><w:t xml:space="preserve">Validation — Propensity AUROC</w:t></w:r></w:p></w:tc><w:tc><w:tcPr><w:tcW w:type="dxa" w:w="2800"/><w:shd w:fill="F2F2F2" w:color="auto" w:val="clear"/></w:tcPr><w:p><w:pPr><w:spacing w:after="60" w:before="60"/><w:jc w:val="center"/></w:pPr><w:r><w:rPr><w:sz w:val="20"/><w:szCs w:val="20"/></w:rPr><w:t xml:space="preserve">0.586</w:t></w:r></w:p></w:tc><w:tc><w:tcPr><w:tcW w:type="dxa" w:w="2800"/><w:shd w:fill="F2F2F2" w:color="auto" w:val="clear"/></w:tcPr><w:p><w:pPr><w:spacing w:after="60" w:before="60"/><w:jc w:val="center"/></w:pPr><w:r><w:rPr><w:sz w:val="20"/><w:szCs w:val="20"/></w:rPr><w:t xml:space="preserve">Threshold &lt; 0.65 ✅</w:t></w:r></w:p></w:tc></w:tr><w:tr><w:tc><w:tcPr><w:tcW w:type="dxa" w:w="4000"/><w:shd w:fill="FFFFFF" w:color="auto" w:val="clear"/></w:tcPr><w:p><w:pPr><w:spacing w:after="60" w:before="60"/><w:jc w:val="left"/></w:pPr><w:r><w:rPr><w:sz w:val="20"/><w:szCs w:val="20"/></w:rPr><w:t xml:space="preserve">Validation — Hotelling T²</w:t></w:r></w:p></w:tc><w:tc><w:tcPr><w:tcW w:type="dxa" w:w="2800"/><w:shd w:fill="FFFFFF" w:color="auto" w:val="clear"/></w:tcPr><w:p><w:pPr><w:spacing w:after="60" w:before="60"/><w:jc w:val="center"/></w:pPr><w:r><w:rPr><w:sz w:val="20"/><w:szCs w:val="20"/></w:rPr><w:t xml:space="preserve">0.020 (normalized)</w:t></w:r></w:p></w:tc><w:tc><w:tcPr><w:tcW w:type="dxa" w:w="2800"/><w:shd w:fill="FFFFFF" w:color="auto" w:val="clear"/></w:tcPr><w:p><w:pPr><w:spacing w:after="60" w:before="60"/><w:jc w:val="center"/></w:pPr><w:r><w:rPr><w:sz w:val="20"/><w:szCs w:val="20"/></w:rPr><w:t xml:space="preserve">Threshold &lt; 1.0 ✅</w:t></w:r></w:p></w:tc></w:tr><w:tr><w:tc><w:tcPr><w:tcW w:type="dxa" w:w="4000"/><w:shd w:fill="F2F2F2" w:color="auto" w:val="clear"/></w:tcPr><w:p><w:pPr><w:spacing w:after="60" w:before="60"/><w:jc w:val="left"/></w:pPr><w:r><w:rPr><w:sz w:val="20"/><w:szCs w:val="20"/></w:rPr><w:t xml:space="preserve">Baseline XGBoost macro AUROC</w:t></w:r></w:p></w:tc><w:tc><w:tcPr><w:tcW w:type="dxa" w:w="2800"/><w:shd w:fill="F2F2F2" w:color="auto" w:val="clear"/></w:tcPr><w:p><w:pPr><w:spacing w:after="60" w:before="60"/><w:jc w:val="center"/></w:pPr><w:r><w:rPr><w:sz w:val="20"/><w:szCs w:val="20"/></w:rPr><w:t xml:space="preserve">0.9032*</w:t></w:r></w:p></w:tc><w:tc><w:tcPr><w:tcW w:type="dxa" w:w="2800"/><w:shd w:fill="F2F2F2" w:color="auto" w:val="clear"/></w:tcPr><w:p><w:pPr><w:spacing w:after="60" w:before="60"/><w:jc w:val="center"/></w:pPr><w:r><w:rPr><w:sz w:val="20"/><w:szCs w:val="20"/></w:rPr><w:t xml:space="preserve">—</w:t></w:r></w:p></w:tc></w:tr><w:tr><w:tc><w:tcPr><w:tcW w:type="dxa" w:w="4000"/><w:shd w:fill="FFFFFF" w:color="auto" w:val="clear"/></w:tcPr><w:p><w:pPr><w:spacing w:after="60" w:before="60"/><w:jc w:val="left"/></w:pPr><w:r><w:rPr><w:sz w:val="20"/><w:szCs w:val="20"/></w:rPr><w:t xml:space="preserve">Bio_ClinicalBERT macro AUROC</w:t></w:r></w:p></w:tc><w:tc><w:tcPr><w:tcW w:type="dxa" w:w="2800"/><w:shd w:fill="FFFFFF" w:color="auto" w:val="clear"/></w:tcPr><w:p><w:pPr><w:spacing w:after="60" w:before="60"/><w:jc w:val="center"/></w:pPr><w:r><w:rPr><w:sz w:val="20"/><w:szCs w:val="20"/></w:rPr><w:t xml:space="preserve">0.6788</w:t></w:r></w:p></w:tc><w:tc><w:tcPr><w:tcW w:type="dxa" w:w="2800"/><w:shd w:fill="FFFFFF" w:color="auto" w:val="clear"/></w:tcPr><w:p><w:pPr><w:spacing w:after="60" w:before="60"/><w:jc w:val="center"/></w:pPr><w:r><w:rPr><w:sz w:val="20"/><w:szCs w:val="20"/></w:rPr><w:t xml:space="preserve">Head-to-head vs. XGBoost baseline</w:t></w:r></w:p></w:tc></w:tr><w:tr><w:tc><w:tcPr><w:tcW w:type="dxa" w:w="4000"/><w:shd w:fill="F2F2F2" w:color="auto" w:val="clear"/></w:tcPr><w:p><w:pPr><w:spacing w:after="60" w:before="60"/><w:jc w:val="left"/></w:pPr><w:r><w:rPr><w:sz w:val="20"/><w:szCs w:val="20"/></w:rPr><w:t xml:space="preserve">Power analysis — min dataset size</w:t></w:r></w:p></w:tc><w:tc><w:tcPr><w:tcW w:type="dxa" w:w="2800"/><w:shd w:fill="F2F2F2" w:color="auto" w:val="clear"/></w:tcPr><w:p><w:pPr><w:spacing w:after="60" w:before="60"/><w:jc w:val="center"/></w:pPr><w:r><w:rPr><w:sz w:val="20"/><w:szCs w:val="20"/></w:rPr><w:t xml:space="preserve">~1,000 records</w:t></w:r></w:p></w:tc><w:tc><w:tcPr><w:tcW w:type="dxa" w:w="2800"/><w:shd w:fill="F2F2F2" w:color="auto" w:val="clear"/></w:tcPr><w:p><w:pPr><w:spacing w:after="60" w:before="60"/><w:jc w:val="center"/></w:pPr><w:r><w:rPr><w:sz w:val="20"/><w:szCs w:val="20"/></w:rPr><w:t xml:space="preserve">Learning curve considered</w:t></w:r></w:p></w:tc></w:tr><w:tr><w:tc><w:tcPr><w:tcW w:type="dxa" w:w="4000"/><w:shd w:fill="FFFFFF" w:color="auto" w:val="clear"/></w:tcPr><w:p><w:pPr><w:spacing w:after="60" w:before="60"/><w:jc w:val="left"/></w:pPr><w:r><w:rPr><w:sz w:val="20"/><w:szCs w:val="20"/></w:rPr><w:t xml:space="preserve">SHAP clinical alignment</w:t></w:r></w:p></w:tc><w:tc><w:tcPr><w:tcW w:type="dxa" w:w="2800"/><w:shd w:fill="FFFFFF" w:color="auto" w:val="clear"/></w:tcPr><w:p><w:pPr><w:spacing w:after="60" w:before="60"/><w:jc w:val="center"/></w:pPr><w:r><w:rPr><w:sz w:val="20"/><w:szCs w:val="20"/></w:rPr><w:t xml:space="preserve">72.4%</w:t></w:r></w:p></w:tc><w:tc><w:tcPr><w:tcW w:type="dxa" w:w="2800"/><w:shd w:fill="FFFFFF" w:color="auto" w:val="clear"/></w:tcPr><w:p><w:pPr><w:spacing w:after="60" w:before="60"/><w:jc w:val="center"/></w:pPr><w:r><w:rPr><w:sz w:val="20"/><w:szCs w:val="20"/></w:rPr><w:t xml:space="preserve">11/11 labels validated</w:t></w:r></w:p></w:tc></w:tr><w:tr><w:tc><w:tcPr><w:tcW w:type="dxa" w:w="4000"/><w:shd w:fill="F2F2F2" w:color="auto" w:val="clear"/></w:tcPr><w:p><w:pPr><w:spacing w:after="60" w:before="60"/><w:jc w:val="left"/></w:pPr><w:r><w:rPr><w:sz w:val="20"/><w:szCs w:val="20"/></w:rPr><w:t xml:space="preserve">Fairness audit pass rate</w:t></w:r></w:p></w:tc><w:tc><w:tcPr><w:tcW w:type="dxa" w:w="2800"/><w:shd w:fill="F2F2F2" w:color="auto" w:val="clear"/></w:tcPr><w:p><w:pPr><w:spacing w:after="60" w:before="60"/><w:jc w:val="center"/></w:pPr><w:r><w:rPr><w:sz w:val="20"/><w:szCs w:val="20"/></w:rPr><w:t xml:space="preserve">87.9%</w:t></w:r></w:p></w:tc><w:tc><w:tcPr><w:tcW w:type="dxa" w:w="2800"/><w:shd w:fill="F2F2F2" w:color="auto" w:val="clear"/></w:tcPr><w:p><w:pPr><w:spacing w:after="60" w:before="60"/><w:jc w:val="center"/></w:pPr><w:r><w:rPr><w:sz w:val="20"/><w:szCs w:val="20"/></w:rPr><w:t xml:space="preserve">7 flags — all clinically justified</w:t></w:r></w:p></w:tc></w:tr><w:tr><w:tc><w:tcPr><w:tcW w:type="dxa" w:w="4000"/><w:shd w:fill="FFFFFF" w:color="auto" w:val="clear"/></w:tcPr><w:p><w:pPr><w:spacing w:after="60" w:before="60"/><w:jc w:val="left"/></w:pPr><w:r><w:rPr><w:sz w:val="20"/><w:szCs w:val="20"/></w:rPr><w:t xml:space="preserve">API inference time</w:t></w:r></w:p></w:tc><w:tc><w:tcPr><w:tcW w:type="dxa" w:w="2800"/><w:shd w:fill="FFFFFF" w:color="auto" w:val="clear"/></w:tcPr><w:p><w:pPr><w:spacing w:after="60" w:before="60"/><w:jc w:val="center"/></w:pPr><w:r><w:rPr><w:sz w:val="20"/><w:szCs w:val="20"/></w:rPr><w:t xml:space="preserve">690ms</w:t></w:r></w:p></w:tc><w:tc><w:tcPr><w:tcW w:type="dxa" w:w="2800"/><w:shd w:fill="FFFFFF" w:color="auto" w:val="clear"/></w:tcPr><w:p><w:pPr><w:spacing w:after="60" w:before="60"/><w:jc w:val="center"/></w:pPr><w:r><w:rPr><w:sz w:val="20"/><w:szCs w:val="20"/></w:rPr><w:t xml:space="preserve">ECS Fargate CPU</w:t></w:r></w:p></w:tc></w:tr><w:tr><w:tc><w:tcPr><w:tcW w:type="dxa" w:w="4000"/><w:shd w:fill="F2F2F2" w:color="auto" w:val="clear"/></w:tcPr><w:p><w:pPr><w:spacing w:after="60" w:before="60"/><w:jc w:val="left"/></w:pPr><w:r><w:rPr><w:sz w:val="20"/><w:szCs w:val="20"/></w:rPr><w:t xml:space="preserve">Deployment</w:t></w:r></w:p></w:tc><w:tc><w:tcPr><w:tcW w:type="dxa" w:w="2800"/><w:shd w:fill="F2F2F2" w:color="auto" w:val="clear"/></w:tcPr><w:p><w:pPr><w:spacing w:after="60" w:before="60"/><w:jc w:val="center"/></w:pPr><w:r><w:rPr><w:sz w:val="20"/><w:szCs w:val="20"/></w:rPr><w:t xml:space="preserve">AWS ECS Fargate</w:t></w:r></w:p></w:tc><w:tc><w:tcPr><w:tcW w:type="dxa" w:w="2800"/><w:shd w:fill="F2F2F2" w:color="auto" w:val="clear"/></w:tcPr><w:p><w:pPr><w:spacing w:after="60" w:before="60"/><w:jc w:val="center"/></w:pPr><w:r><w:rPr><w:sz w:val="20"/><w:szCs w:val="20"/></w:rPr><w:t xml:space="preserve">Live endpoint</w:t></w:r></w:p></w:tc></w:tr></w:tbl><w:p><w:pPr><w:spacing w:after="200" w:before="0"/></w:pPr><w:r><w:rPr><w:sz w:val="22"/><w:szCs w:val="22"/></w:rPr><w:t xml:space="preserve"/></w:r></w:p><w:p><w:pPr><w:spacing w:after="120" w:before="80" w:line="276" w:lineRule="auto"/><w:ind/><w:jc w:val="both"/></w:pPr><w:r><w:rPr><w:b w:val="false"/><w:bCs w:val="false"/><w:i w:val="false"/><w:iCs w:val="false"/><w:color w:val="000000"/><w:sz w:val="22"/><w:szCs w:val="22"/></w:rPr><w:t xml:space="preserve">Two families of models were evaluated on the synthetic data. XGBoost achieves a macro AUROC of 0.9032 on learnable labels, benefiting from direct access to numeric clinical thresholds like HbA1c and blood pressure. Bio_ClinicalBERT achieves macro AUROC 0.6788 on the same task. On this specific dataset with structured clinical values, the tabular model is the stronger performer — a result consistent with recent literature comparing language models to tree-based methods on tabular clinical data.</w:t></w:r></w:p><w:p><w:pPr><w:spacing w:after="120" w:before="80" w:line="276" w:lineRule="auto"/><w:ind/><w:jc w:val="both"/></w:pPr><w:r><w:rPr><w:b w:val="false"/><w:bCs w:val="false"/><w:i w:val="false"/><w:iCs w:val="false"/><w:color w:val="000000"/><w:sz w:val="22"/><w:szCs w:val="22"/></w:rPr><w:t xml:space="preserve">The complete pipeline — from raw NHANES data ingestion to a live HTTPS inference API deployed on Amazon ECS Fargate — is fully documented, version-controlled in GitHub, and automated via a GitHub Actions CI/CD pipeline.</w:t></w:r></w:p><w:p><w:r><w:br w:type="page"/></w:r></w:p><w:p><w:pPr><w:pStyle w:val="Heading1"/><w:spacing w:after="200" w:before="400"/><w:rPr><w:b/><w:bCs/><w:color w:val="1E3A5F"/><w:sz w:val="28"/><w:szCs w:val="28"/></w:rPr></w:pPr><w:r><w:t xml:space="preserve">1. Introduction</w:t></w:r></w:p><w:p><w:pPr><w:pStyle w:val="Heading2"/><w:spacing w:after="150" w:before="300"/><w:rPr><w:b/><w:bCs/><w:color w:val="2E6DA4"/><w:sz w:val="24"/><w:szCs w:val="24"/></w:rPr></w:pPr><w:r><w:t xml:space="preserve">1.1 GoEMed Business Context</w:t></w:r></w:p><w:p><w:pPr><w:spacing w:after="120" w:before="80" w:line="276" w:lineRule="auto"/><w:ind/><w:jc w:val="both"/></w:pPr><w:r><w:rPr><w:b w:val="false"/><w:bCs w:val="false"/><w:i w:val="false"/><w:iCs w:val="false"/><w:color w:val="000000"/><w:sz w:val="22"/><w:szCs w:val="22"/></w:rPr><w:t xml:space="preserve">GoEMed.com is a direct-pay healthcare marketplace that provides transparent, upfront pricing for medical services across a network of healthcare providers. Unlike traditional insurance-mediated care, GoEMed enables patients to compare procedure costs, select providers, and pay directly — eliminating the opacity of traditional healthcare pricing.</w:t></w:r></w:p><w:p><w:pPr><w:spacing w:after="120" w:before="80" w:line="276" w:lineRule="auto"/><w:ind/><w:jc w:val="both"/></w:pPr><w:r><w:rPr><w:b w:val="false"/><w:bCs w:val="false"/><w:i w:val="false"/><w:iCs w:val="false"/><w:color w:val="000000"/><w:sz w:val="22"/><w:szCs w:val="22"/></w:rPr><w:t xml:space="preserve">A key product opportunity identified by GoEMed leadership is health risk intelligence: the ability to surface relevant procedures and preventive care recommendations to users based on their individual health risk profile. A 45-year-old Black male with elevated blood pressure and family history of cardiovascular disease has very different healthcare needs — and therefore different marketplace recommendations — than a 28-year-old Asian female with no chronic conditions.</w:t></w:r></w:p><w:p><w:pPr><w:spacing w:after="120" w:before="80" w:line="276" w:lineRule="auto"/><w:ind/><w:jc w:val="both"/></w:pPr><w:r><w:rPr><w:b w:val="false"/><w:bCs w:val="false"/><w:i w:val="false"/><w:iCs w:val="false"/><w:color w:val="000000"/><w:sz w:val="22"/><w:szCs w:val="22"/></w:rPr><w:t xml:space="preserve">Building such a risk profiling capability requires patient health data. However, real patient data is protected under HIPAA and cannot be used for model training without strict data use agreements, institutional review board approval, and extensive de-identification processes. This project solves that problem by generating statistically rigorous synthetic patient data that preserves the distributional properties of real NHANES data while containing no actual patient information.</w:t></w:r></w:p><w:p><w:pPr><w:spacing w:after="200" w:before="0"/></w:pPr><w:r><w:rPr><w:sz w:val="22"/><w:szCs w:val="22"/></w:rPr><w:t xml:space="preserve"/></w:r></w:p><w:p><w:pPr><w:pStyle w:val="Heading2"/><w:spacing w:after="150" w:before="300"/><w:rPr><w:b/><w:bCs/><w:color w:val="2E6DA4"/><w:sz w:val="24"/><w:szCs w:val="24"/></w:rPr></w:pPr><w:r><w:t xml:space="preserve">1.2 Project Objectives</w:t></w:r></w:p><w:p><w:pPr><w:spacing w:after="120" w:before="80" w:line="276" w:lineRule="auto"/><w:ind/><w:jc w:val="both"/></w:pPr><w:r><w:rPr><w:b w:val="false"/><w:bCs w:val="false"/><w:i w:val="false"/><w:iCs w:val="false"/><w:color w:val="000000"/><w:sz w:val="22"/><w:szCs w:val="22"/></w:rPr><w:t xml:space="preserve">This internship project had four primary objectives:</w:t></w:r></w:p><w:p><w:pPr><w:pStyle w:val="ListParagraph"/><w:numPr><w:ilvl w:val="0"/><w:numId w:val="1"/></w:numPr><w:spacing w:after="60" w:before="60"/><w:ind w:left="720" w:hanging="360"/></w:pPr><w:r><w:rPr><w:sz w:val="22"/><w:szCs w:val="22"/></w:rPr><w:t xml:space="preserve">Design and implement a synthetic patient data generator calibrated to published epidemiological benchmarks from NHANES, BRFSS, CDC, AHA, and SEER</w:t></w:r></w:p><w:p><w:pPr><w:pStyle w:val="ListParagraph"/><w:numPr><w:ilvl w:val="0"/><w:numId w:val="1"/></w:numPr><w:spacing w:after="60" w:before="60"/><w:ind w:left="720" w:hanging="360"/></w:pPr><w:r><w:rPr><w:sz w:val="22"/><w:szCs w:val="22"/></w:rPr><w:t xml:space="preserve">Fine-tune a clinical Small Language Model (Bio_ClinicalBERT) for multi-label health condition prediction from natural language patient profiles</w:t></w:r></w:p><w:p><w:pPr><w:pStyle w:val="ListParagraph"/><w:numPr><w:ilvl w:val="0"/><w:numId w:val="1"/></w:numPr><w:spacing w:after="60" w:before="60"/><w:ind w:left="720" w:hanging="360"/></w:pPr><w:r><w:rPr><w:sz w:val="22"/><w:szCs w:val="22"/></w:rPr><w:t xml:space="preserve">Conduct rigorous statistical validation, power analysis, fairness audit, and SHAP interpretability analysis</w:t></w:r></w:p><w:p><w:pPr><w:pStyle w:val="ListParagraph"/><w:numPr><w:ilvl w:val="0"/><w:numId w:val="1"/></w:numPr><w:spacing w:after="60" w:before="60"/><w:ind w:left="720" w:hanging="360"/></w:pPr><w:r><w:rPr><w:sz w:val="22"/><w:szCs w:val="22"/></w:rPr><w:t xml:space="preserve">Deploy the trained model as a production-grade REST API on Amazon Web Services using Docker, ECS Fargate, and GitHub Actions CI/CD</w:t></w:r></w:p><w:p><w:pPr><w:spacing w:after="200" w:before="0"/></w:pPr><w:r><w:rPr><w:sz w:val="22"/><w:szCs w:val="22"/></w:rPr><w:t xml:space="preserve"/></w:r></w:p><w:p><w:pPr><w:pStyle w:val="Heading2"/><w:spacing w:after="150" w:before="300"/><w:rPr><w:b/><w:bCs/><w:color w:val="2E6DA4"/><w:sz w:val="24"/><w:szCs w:val="24"/></w:rPr></w:pPr><w:r><w:t xml:space="preserve">1.3 Scope</w:t></w:r></w:p><w:p><w:pPr><w:spacing w:after="120" w:before="80" w:line="276" w:lineRule="auto"/><w:ind/><w:jc w:val="both"/></w:pPr><w:r><w:rPr><w:b w:val="false"/><w:bCs w:val="false"/><w:i w:val="false"/><w:iCs w:val="false"/><w:color w:val="000000"/><w:sz w:val="22"/><w:szCs w:val="22"/></w:rPr><w:t xml:space="preserve">The project covers 11 health condition labels: Hypertension, Type 2 Diabetes, Cardiovascular Disease Risk, Chronic Kidney Disease, Obstructive Sleep Apnea, Depression/Anxiety, COPD, Metabolic Syndrome, Hypothyroidism, Prediabetes, and Colorectal Cancer Risk. The synthetic dataset contains 100,000 adult patient records spanning demographics consistent with Census ACS population estimates.</w:t></w:r></w:p><w:p xmlns:w="http://schemas.openxmlformats.org/wordprocessingml/2006/main"><w:pPr><w:pStyle w:val="Heading2"/><w:spacing w:before="300" w:after="150"/></w:pPr><w:r><w:rPr><w:color w:val="2E6DA4"/><w:sz w:val="24"/><w:szCs w:val="24"/><w:b/></w:rPr><w:t>1.4 Why a Small Language Model?</w:t></w:r></w:p><w:p xmlns:w="http://schemas.openxmlformats.org/wordprocessingml/2006/main"><w:pPr><w:jc w:val="both"/><w:spacing w:before="80" w:after="120" w:line="276" w:lineRule="auto"/></w:pPr><w:r><w:rPr><w:sz w:val="22"/><w:szCs w:val="22"/></w:rPr><w:t xml:space="preserve">The decision to use a Small Language Model rather than a traditional rule-based system or tabular machine learning model is driven by three interconnected considerations: privacy, flexibility, and clinical expressiveness. Traditional clinical decision support systems require access to real patient records — data that is protected under HIPAA and unavailable to a direct-pay marketplace like GoEMed without complex data use agreements, institutional review board approval, and extensive de-identification processes that can take months to negotiate. An SLM trained entirely on synthetic data sidesteps this barrier while preserving statistical fidelity to real population health patterns.</w:t></w:r></w:p><w:p xmlns:w="http://schemas.openxmlformats.org/wordprocessingml/2006/main"><w:pPr><w:jc w:val="both"/><w:spacing w:before="80" w:after="120" w:line="276" w:lineRule="auto"/></w:pPr><w:r><w:rPr><w:sz w:val="22"/><w:szCs w:val="22"/></w:rPr><w:t xml:space="preserve">Beyond privacy, an SLM offers structural advantages over tabular models. A patient interacting with GoEMed may not know their HbA1c or creatinine level — they may only know their age, weight, and whether they have a family history of diabetes. Tabular models like XGBoost require a complete feature vector and degrade significantly with missing inputs, whereas a language model gracefully handles partial profiles by leveraging contextual relationships learned during pre-training. Bio_ClinicalBERT, pre-trained on 880 million words of MIMIC III clinical notes, already understands that "family history of diabetes" and "elevated BMI" are meaningful signals for diabetes risk even without laboratory values present.</w:t></w:r></w:p><w:p xmlns:w="http://schemas.openxmlformats.org/wordprocessingml/2006/main"><w:pPr><w:jc w:val="both"/><w:spacing w:before="80" w:after="120" w:line="276" w:lineRule="auto"/></w:pPr><w:r><w:rPr><w:sz w:val="22"/><w:szCs w:val="22"/></w:rPr><w:t xml:space="preserve">Finally, the SLM approach is inherently extensible. Adding a new condition label requires only generating additional synthetic training records and retraining the classification head — no restructuring of the feature engineering pipeline. As GoEMed expands its marketplace to cover additional health domains (mental health, musculoskeletal, oncology screening), the same synthetic data generation and SLM fine-tuning framework can be applied without re-engineering the core architecture. The power analysis conducted in this project confirms that Bio_ClinicalBERT reaches clinically meaningful performance with as few as 1,000 training records per label — making rapid iteration on new conditions both practical and cost-effective.</w:t></w:r></w:p><w:p><w:r><w:br w:type="page"/></w:r></w:p><w:p><w:pPr><w:pStyle w:val="Heading1"/><w:spacing w:after="200" w:before="400"/><w:rPr><w:b/><w:bCs/><w:color w:val="1E3A5F"/><w:sz w:val="28"/><w:szCs w:val="28"/></w:rPr></w:pPr><w:r><w:t xml:space="preserve">2. Data Sources</w:t></w:r></w:p><w:p><w:pPr><w:pStyle w:val="Heading2"/><w:spacing w:after="150" w:before="300"/><w:rPr><w:b/><w:bCs/><w:color w:val="2E6DA4"/><w:sz w:val="24"/><w:szCs w:val="24"/></w:rPr></w:pPr><w:r><w:t xml:space="preserve">2.1 Primary Epidemiological Sources</w:t></w:r></w:p><w:p><w:pPr><w:spacing w:after="120" w:before="80" w:line="276" w:lineRule="auto"/><w:ind/><w:jc w:val="both"/></w:pPr><w:r><w:rPr><w:b w:val="false"/><w:bCs w:val="false"/><w:i w:val="false"/><w:iCs w:val="false"/><w:color w:val="000000"/><w:sz w:val="22"/><w:szCs w:val="22"/></w:rPr><w:t xml:space="preserve">All data sources used in this project are publicly available federal health datasets requiring no data use agreements for public-use files.</w:t></w:r></w:p><w:p><w:pPr><w:spacing w:after="200" w:before="0"/></w:pPr><w:r><w:rPr><w:sz w:val="22"/><w:szCs w:val="22"/></w:rPr><w:t xml:space="preserve"/></w:r></w:p><w:tbl><w:tblPr><w:tblW w:type="dxa" w:w="8600"/><w:tblBorders><w:top w:val="single" w:color="auto" w:sz="4"/><w:left w:val="single" w:color="auto" w:sz="4"/><w:bottom w:val="single" w:color="auto" w:sz="4"/><w:right w:val="single" w:color="auto" w:sz="4"/><w:insideH w:val="single" w:color="auto" w:sz="4"/><w:insideV w:val="single" w:color="auto" w:sz="4"/></w:tblBorders></w:tblPr><w:tblGrid><w:gridCol w:w="2200"/><w:gridCol w:w="3000"/><w:gridCol w:w="2000"/><w:gridCol w:w="1400"/></w:tblGrid><w:tr><w:trPr><w:tblHeader/></w:trPr><w:tc><w:tcPr><w:tcW w:type="dxa" w:w="2200"/><w:shd w:fill="1E3A5F" w:color="auto" w:val="clear"/></w:tcPr><w:p><w:pPr><w:spacing w:after="60" w:before="60"/><w:jc w:val="center"/></w:pPr><w:r><w:rPr><w:b/><w:bCs/><w:color w:val="FFFFFF"/><w:sz w:val="20"/><w:szCs w:val="20"/></w:rPr><w:t xml:space="preserve">Source</w:t></w:r></w:p></w:tc><w:tc><w:tcPr><w:tcW w:type="dxa" w:w="3000"/><w:shd w:fill="1E3A5F" w:color="auto" w:val="clear"/></w:tcPr><w:p><w:pPr><w:spacing w:after="60" w:before="60"/><w:jc w:val="center"/></w:pPr><w:r><w:rPr><w:b/><w:bCs/><w:color w:val="FFFFFF"/><w:sz w:val="20"/><w:szCs w:val="20"/></w:rPr><w:t xml:space="preserve">Data Provided</w:t></w:r></w:p></w:tc><w:tc><w:tcPr><w:tcW w:type="dxa" w:w="2000"/><w:shd w:fill="1E3A5F" w:color="auto" w:val="clear"/></w:tcPr><w:p><w:pPr><w:spacing w:after="60" w:before="60"/><w:jc w:val="center"/></w:pPr><w:r><w:rPr><w:b/><w:bCs/><w:color w:val="FFFFFF"/><w:sz w:val="20"/><w:szCs w:val="20"/></w:rPr><w:t xml:space="preserve">Used For</w:t></w:r></w:p></w:tc><w:tc><w:tcPr><w:tcW w:type="dxa" w:w="1400"/><w:shd w:fill="1E3A5F" w:color="auto" w:val="clear"/></w:tcPr><w:p><w:pPr><w:spacing w:after="60" w:before="60"/><w:jc w:val="center"/></w:pPr><w:r><w:rPr><w:b/><w:bCs/><w:color w:val="FFFFFF"/><w:sz w:val="20"/><w:szCs w:val="20"/></w:rPr><w:t xml:space="preserve">Access</w:t></w:r></w:p></w:tc></w:tr><w:tr><w:tc><w:tcPr><w:tcW w:type="dxa" w:w="2200"/><w:shd w:fill="FFFFFF" w:color="auto" w:val="clear"/></w:tcPr><w:p><w:pPr><w:spacing w:after="60" w:before="60"/><w:jc w:val="left"/></w:pPr><w:r><w:rPr><w:sz w:val="20"/><w:szCs w:val="20"/></w:rPr><w:t xml:space="preserve">NHANES 2017-March 2020
(Pre-Pandemic)</w:t></w:r></w:p></w:tc><w:tc><w:tcPr><w:tcW w:type="dxa" w:w="3000"/><w:shd w:fill="FFFFFF" w:color="auto" w:val="clear"/></w:tcPr><w:p><w:pPr><w:spacing w:after="60" w:before="60"/><w:jc w:val="center"/></w:pPr><w:r><w:rPr><w:sz w:val="20"/><w:szCs w:val="20"/></w:rPr><w:t xml:space="preserve">BMI, BP, cholesterol, HbA1c, glucose, creatinine, smoking — 15,560 participants</w:t></w:r></w:p></w:tc><w:tc><w:tcPr><w:tcW w:type="dxa" w:w="2000"/><w:shd w:fill="FFFFFF" w:color="auto" w:val="clear"/></w:tcPr><w:p><w:pPr><w:spacing w:after="60" w:before="60"/><w:jc w:val="center"/></w:pPr><w:r><w:rPr><w:sz w:val="20"/><w:szCs w:val="20"/></w:rPr><w:t xml:space="preserve">Distribution fitting, correlation matrices</w:t></w:r></w:p></w:tc><w:tc><w:tcPr><w:tcW w:type="dxa" w:w="1400"/><w:shd w:fill="FFFFFF" w:color="auto" w:val="clear"/></w:tcPr><w:p><w:pPr><w:spacing w:after="60" w:before="60"/><w:jc w:val="center"/></w:pPr><w:r><w:rPr><w:sz w:val="20"/><w:szCs w:val="20"/></w:rPr><w:t xml:space="preserve">Free, direct download</w:t></w:r></w:p></w:tc></w:tr><w:tr><w:tc><w:tcPr><w:tcW w:type="dxa" w:w="2200"/><w:shd w:fill="F2F2F2" w:color="auto" w:val="clear"/></w:tcPr><w:p><w:pPr><w:spacing w:after="60" w:before="60"/><w:jc w:val="left"/></w:pPr><w:r><w:rPr><w:sz w:val="20"/><w:szCs w:val="20"/></w:rPr><w:t xml:space="preserve">NHANES Aug 2021-Aug 2023</w:t></w:r></w:p></w:tc><w:tc><w:tcPr><w:tcW w:type="dxa" w:w="3000"/><w:shd w:fill="F2F2F2" w:color="auto" w:val="clear"/></w:tcPr><w:p><w:pPr><w:spacing w:after="60" w:before="60"/><w:jc w:val="center"/></w:pPr><w:r><w:rPr><w:sz w:val="20"/><w:szCs w:val="20"/></w:rPr><w:t xml:space="preserve">Same variables — 11,933 participants</w:t></w:r></w:p></w:tc><w:tc><w:tcPr><w:tcW w:type="dxa" w:w="2000"/><w:shd w:fill="F2F2F2" w:color="auto" w:val="clear"/></w:tcPr><w:p><w:pPr><w:spacing w:after="60" w:before="60"/><w:jc w:val="center"/></w:pPr><w:r><w:rPr><w:sz w:val="20"/><w:szCs w:val="20"/></w:rPr><w:t xml:space="preserve">Distribution fitting, validation</w:t></w:r></w:p></w:tc><w:tc><w:tcPr><w:tcW w:type="dxa" w:w="1400"/><w:shd w:fill="F2F2F2" w:color="auto" w:val="clear"/></w:tcPr><w:p><w:pPr><w:spacing w:after="60" w:before="60"/><w:jc w:val="center"/></w:pPr><w:r><w:rPr><w:sz w:val="20"/><w:szCs w:val="20"/></w:rPr><w:t xml:space="preserve">Free, direct download</w:t></w:r></w:p></w:tc></w:tr><w:tr><w:tc><w:tcPr><w:tcW w:type="dxa" w:w="2200"/><w:shd w:fill="FFFFFF" w:color="auto" w:val="clear"/></w:tcPr><w:p><w:pPr><w:spacing w:after="60" w:before="60"/><w:jc w:val="left"/></w:pPr><w:r><w:rPr><w:sz w:val="20"/><w:szCs w:val="20"/></w:rPr><w:t xml:space="preserve">BRFSS 2024</w:t></w:r></w:p></w:tc><w:tc><w:tcPr><w:tcW w:type="dxa" w:w="3000"/><w:shd w:fill="FFFFFF" w:color="auto" w:val="clear"/></w:tcPr><w:p><w:pPr><w:spacing w:after="60" w:before="60"/><w:jc w:val="center"/></w:pPr><w:r><w:rPr><w:sz w:val="20"/><w:szCs w:val="20"/></w:rPr><w:t xml:space="preserve">Smoking, alcohol, activity rates by state — 457,670 respondents</w:t></w:r></w:p></w:tc><w:tc><w:tcPr><w:tcW w:type="dxa" w:w="2000"/><w:shd w:fill="FFFFFF" w:color="auto" w:val="clear"/></w:tcPr><w:p><w:pPr><w:spacing w:after="60" w:before="60"/><w:jc w:val="center"/></w:pPr><w:r><w:rPr><w:sz w:val="20"/><w:szCs w:val="20"/></w:rPr><w:t xml:space="preserve">Binary feature calibration</w:t></w:r></w:p></w:tc><w:tc><w:tcPr><w:tcW w:type="dxa" w:w="1400"/><w:shd w:fill="FFFFFF" w:color="auto" w:val="clear"/></w:tcPr><w:p><w:pPr><w:spacing w:after="60" w:before="60"/><w:jc w:val="center"/></w:pPr><w:r><w:rPr><w:sz w:val="20"/><w:szCs w:val="20"/></w:rPr><w:t xml:space="preserve">Free, direct download</w:t></w:r></w:p></w:tc></w:tr><w:tr><w:tc><w:tcPr><w:tcW w:type="dxa" w:w="2200"/><w:shd w:fill="F2F2F2" w:color="auto" w:val="clear"/></w:tcPr><w:p><w:pPr><w:spacing w:after="60" w:before="60"/><w:jc w:val="left"/></w:pPr><w:r><w:rPr><w:sz w:val="20"/><w:szCs w:val="20"/></w:rPr><w:t xml:space="preserve">Census ACS 2022</w:t></w:r></w:p></w:tc><w:tc><w:tcPr><w:tcW w:type="dxa" w:w="3000"/><w:shd w:fill="F2F2F2" w:color="auto" w:val="clear"/></w:tcPr><w:p><w:pPr><w:spacing w:after="60" w:before="60"/><w:jc w:val="center"/></w:pPr><w:r><w:rPr><w:sz w:val="20"/><w:szCs w:val="20"/></w:rPr><w:t xml:space="preserve">Population shares by age/race/sex/geography</w:t></w:r></w:p></w:tc><w:tc><w:tcPr><w:tcW w:type="dxa" w:w="2000"/><w:shd w:fill="F2F2F2" w:color="auto" w:val="clear"/></w:tcPr><w:p><w:pPr><w:spacing w:after="60" w:before="60"/><w:jc w:val="center"/></w:pPr><w:r><w:rPr><w:sz w:val="20"/><w:szCs w:val="20"/></w:rPr><w:t xml:space="preserve">Demographic weighting</w:t></w:r></w:p></w:tc><w:tc><w:tcPr><w:tcW w:type="dxa" w:w="1400"/><w:shd w:fill="F2F2F2" w:color="auto" w:val="clear"/></w:tcPr><w:p><w:pPr><w:spacing w:after="60" w:before="60"/><w:jc w:val="center"/></w:pPr><w:r><w:rPr><w:sz w:val="20"/><w:szCs w:val="20"/></w:rPr><w:t xml:space="preserve">Free API key</w:t></w:r></w:p></w:tc></w:tr><w:tr><w:tc><w:tcPr><w:tcW w:type="dxa" w:w="2200"/><w:shd w:fill="FFFFFF" w:color="auto" w:val="clear"/></w:tcPr><w:p><w:pPr><w:spacing w:after="60" w:before="60"/><w:jc w:val="left"/></w:pPr><w:r><w:rPr><w:sz w:val="20"/><w:szCs w:val="20"/></w:rPr><w:t xml:space="preserve">NCI SEER 2018-2022</w:t></w:r></w:p></w:tc><w:tc><w:tcPr><w:tcW w:type="dxa" w:w="3000"/><w:shd w:fill="FFFFFF" w:color="auto" w:val="clear"/></w:tcPr><w:p><w:pPr><w:spacing w:after="60" w:before="60"/><w:jc w:val="center"/></w:pPr><w:r><w:rPr><w:sz w:val="20"/><w:szCs w:val="20"/></w:rPr><w:t xml:space="preserve">Colorectal cancer incidence by age/sex/race — all 50 states</w:t></w:r></w:p></w:tc><w:tc><w:tcPr><w:tcW w:type="dxa" w:w="2000"/><w:shd w:fill="FFFFFF" w:color="auto" w:val="clear"/></w:tcPr><w:p><w:pPr><w:spacing w:after="60" w:before="60"/><w:jc w:val="center"/></w:pPr><w:r><w:rPr><w:sz w:val="20"/><w:szCs w:val="20"/></w:rPr><w:t xml:space="preserve">Cancer label calibration</w:t></w:r></w:p></w:tc><w:tc><w:tcPr><w:tcW w:type="dxa" w:w="1400"/><w:shd w:fill="FFFFFF" w:color="auto" w:val="clear"/></w:tcPr><w:p><w:pPr><w:spacing w:after="60" w:before="60"/><w:jc w:val="center"/></w:pPr><w:r><w:rPr><w:sz w:val="20"/><w:szCs w:val="20"/></w:rPr><w:t xml:space="preserve">Free, registration required</w:t></w:r></w:p></w:tc></w:tr><w:tr><w:tc><w:tcPr><w:tcW w:type="dxa" w:w="2200"/><w:shd w:fill="F2F2F2" w:color="auto" w:val="clear"/></w:tcPr><w:p><w:pPr><w:spacing w:after="60" w:before="60"/><w:jc w:val="left"/></w:pPr><w:r><w:rPr><w:sz w:val="20"/><w:szCs w:val="20"/></w:rPr><w:t xml:space="preserve">AHA 2023 Statistical Update</w:t></w:r></w:p></w:tc><w:tc><w:tcPr><w:tcW w:type="dxa" w:w="3000"/><w:shd w:fill="F2F2F2" w:color="auto" w:val="clear"/></w:tcPr><w:p><w:pPr><w:spacing w:after="60" w:before="60"/><w:jc w:val="center"/></w:pPr><w:r><w:rPr><w:sz w:val="20"/><w:szCs w:val="20"/></w:rPr><w:t xml:space="preserve">Hypertension, CVD, diabetes prevalence benchmarks</w:t></w:r></w:p></w:tc><w:tc><w:tcPr><w:tcW w:type="dxa" w:w="2000"/><w:shd w:fill="F2F2F2" w:color="auto" w:val="clear"/></w:tcPr><w:p><w:pPr><w:spacing w:after="60" w:before="60"/><w:jc w:val="center"/></w:pPr><w:r><w:rPr><w:sz w:val="20"/><w:szCs w:val="20"/></w:rPr><w:t xml:space="preserve">Label validation targets</w:t></w:r></w:p></w:tc><w:tc><w:tcPr><w:tcW w:type="dxa" w:w="1400"/><w:shd w:fill="F2F2F2" w:color="auto" w:val="clear"/></w:tcPr><w:p><w:pPr><w:spacing w:after="60" w:before="60"/><w:jc w:val="center"/></w:pPr><w:r><w:rPr><w:sz w:val="20"/><w:szCs w:val="20"/></w:rPr><w:t xml:space="preserve">Published literature</w:t></w:r></w:p></w:tc></w:tr><w:tr><w:tc><w:tcPr><w:tcW w:type="dxa" w:w="2200"/><w:shd w:fill="FFFFFF" w:color="auto" w:val="clear"/></w:tcPr><w:p><w:pPr><w:spacing w:after="60" w:before="60"/><w:jc w:val="left"/></w:pPr><w:r><w:rPr><w:sz w:val="20"/><w:szCs w:val="20"/></w:rPr><w:t xml:space="preserve">CDC Wonder</w:t></w:r></w:p></w:tc><w:tc><w:tcPr><w:tcW w:type="dxa" w:w="3000"/><w:shd w:fill="FFFFFF" w:color="auto" w:val="clear"/></w:tcPr><w:p><w:pPr><w:spacing w:after="60" w:before="60"/><w:jc w:val="center"/></w:pPr><w:r><w:rPr><w:sz w:val="20"/><w:szCs w:val="20"/></w:rPr><w:t xml:space="preserve">Mortality and disease rates by state</w:t></w:r></w:p></w:tc><w:tc><w:tcPr><w:tcW w:type="dxa" w:w="2000"/><w:shd w:fill="FFFFFF" w:color="auto" w:val="clear"/></w:tcPr><w:p><w:pPr><w:spacing w:after="60" w:before="60"/><w:jc w:val="center"/></w:pPr><w:r><w:rPr><w:sz w:val="20"/><w:szCs w:val="20"/></w:rPr><w:t xml:space="preserve">Benchmark validation</w:t></w:r></w:p></w:tc><w:tc><w:tcPr><w:tcW w:type="dxa" w:w="1400"/><w:shd w:fill="FFFFFF" w:color="auto" w:val="clear"/></w:tcPr><w:p><w:pPr><w:spacing w:after="60" w:before="60"/><w:jc w:val="center"/></w:pPr><w:r><w:rPr><w:sz w:val="20"/><w:szCs w:val="20"/></w:rPr><w:t xml:space="preserve">Free, no registration</w:t></w:r></w:p></w:tc></w:tr></w:tbl><w:p><w:pPr><w:spacing w:after="200" w:before="0"/></w:pPr><w:r><w:rPr><w:sz w:val="22"/><w:szCs w:val="22"/></w:rPr><w:t xml:space="preserve"/></w:r></w:p><w:p><w:pPr><w:pStyle w:val="Heading2"/><w:spacing w:after="150" w:before="300"/><w:rPr><w:b/><w:bCs/><w:color w:val="2E6DA4"/><w:sz w:val="24"/><w:szCs w:val="24"/></w:rPr></w:pPr><w:r><w:t xml:space="preserve">2.2 NHANES Data Processing</w:t></w:r></w:p><w:p><w:pPr><w:spacing w:after="120" w:before="80" w:line="276" w:lineRule="auto"/><w:ind/><w:jc w:val="both"/></w:pPr><w:r><w:rPr><w:b w:val="false"/><w:bCs w:val="false"/><w:i w:val="false"/><w:iCs w:val="false"/><w:color w:val="000000"/><w:sz w:val="22"/><w:szCs w:val="22"/></w:rPr><w:t xml:space="preserve">The National Health and Nutrition Examination Survey (NHANES) combines interviews and physical examinations to assess the health and nutritional status of adults and children in the United States. For this project, 24 XPT files were downloaded across two survey cycles covering the following modules: Demographics (DEMO), Body Measures (BMX), Blood Pressure — Oscillometric (BPXO), Total Cholesterol (TCHOL), HDL Cholesterol (HDL), Diabetes Questionnaire (DIQ), HbA1c (GHB), Fasting Glucose (GLU), Smoking (SMQ), Physical Activity (PAQ), Standard Biochemistry Profile (BIOPRO), and Urine Albumin-Creatinine Ratio (ALB_CR).</w:t></w:r></w:p><w:p><w:pPr><w:spacing w:after="120" w:before="80" w:line="276" w:lineRule="auto"/><w:ind/><w:jc w:val="both"/></w:pPr><w:r><w:rPr><w:b w:val="false"/><w:bCs w:val="false"/><w:i w:val="false"/><w:iCs w:val="false"/><w:color w:val="000000"/><w:sz w:val="22"/><w:szCs w:val="22"/></w:rPr><w:t xml:space="preserve">After merging all modules on participant ID (SEQN) and restricting to adults aged 18 and older, the combined dataset contained 17,846 participants with 131 variables. Columns with greater than 80% missing values were excluded, yielding 82 analysis-ready columns for distribution fitting.</w:t></w:r></w:p><w:p><w:pPr><w:spacing w:after="120" w:before="80" w:line="276" w:lineRule="auto"/><w:ind/><w:jc w:val="both"/></w:pPr><w:r><w:rPr><w:b w:val="false"/><w:bCs w:val="false"/><w:i w:val="false"/><w:iCs w:val="false"/><w:color w:val="000000"/><w:sz w:val="22"/><w:szCs w:val="22"/></w:rPr><w:t xml:space="preserve">A note on the 2019-2020 NHANES cycle: CDC suspended field operations in March 2020 due to COVID-19, resulting in an incomplete and non-representative sample. CDC subsequently merged the partial 2019-2020 data with the 2017-2018 cycle into the official 2017-March 2020 Pre-Pandemic release, which was used in this project.</w:t></w:r></w:p><w:p><w:pPr><w:spacing w:after="200" w:before="0"/></w:pPr><w:r><w:rPr><w:sz w:val="22"/><w:szCs w:val="22"/></w:rPr><w:t xml:space="preserve"/></w:r></w:p><w:p><w:pPr><w:pStyle w:val="Heading2"/><w:spacing w:after="150" w:before="300"/><w:rPr><w:b/><w:bCs/><w:color w:val="2E6DA4"/><w:sz w:val="24"/><w:szCs w:val="24"/></w:rPr></w:pPr><w:r><w:t xml:space="preserve">2.3 SEER Cancer Data</w:t></w:r></w:p><w:p><w:pPr><w:spacing w:after="120" w:before="80" w:line="276" w:lineRule="auto"/><w:ind/><w:jc w:val="both"/></w:pPr><w:r><w:rPr><w:b w:val="false"/><w:bCs w:val="false"/><w:i w:val="false"/><w:iCs w:val="false"/><w:color w:val="000000"/><w:sz w:val="22"/><w:szCs w:val="22"/></w:rPr><w:t xml:space="preserve">Colorectal cancer incidence rates were obtained from the NCI State Cancer Profiles database (SEER+NPCR 2018-2022). Age-adjusted incidence rates per 100,000 population were extracted for all 50 US states and DC, stratified by race/ethnicity and sex. The national average rate of 36.7 per 100,000 served as the baseline, with state-specific multipliers computed as state_rate / national_rate.</w:t></w:r></w:p><w:p><w:pPr><w:spacing w:after="120" w:before="80" w:line="276" w:lineRule="auto"/><w:ind/><w:jc w:val="both"/></w:pPr><w:r><w:rPr><w:b w:val="false"/><w:bCs w:val="false"/><w:i w:val="false"/><w:iCs w:val="false"/><w:color w:val="000000"/><w:sz w:val="22"/><w:szCs w:val="22"/></w:rPr><w:t xml:space="preserve">Cancer Alley states — Louisiana (44.3/100k, 1.21x multiplier), Mississippi (46.0/100k, 1.25x), Arkansas (42.2/100k, 1.15x), and Alabama (40.2/100k, 1.10x) — show substantially elevated colorectal cancer rates compared to the national average. These multipliers are stored in configs/regional_cancer_multipliers.yaml and are incorporated into the generator's label assignment for the colorectal cancer condition.</w:t></w:r></w:p><w:p><w:r><w:br w:type="page"/></w:r></w:p><w:p><w:pPr><w:pStyle w:val="Heading1"/><w:spacing w:after="200" w:before="400"/><w:rPr><w:b/><w:bCs/><w:color w:val="1E3A5F"/><w:sz w:val="28"/><w:szCs w:val="28"/></w:rPr></w:pPr><w:r><w:t xml:space="preserve">3. Methodology</w:t></w:r></w:p><w:p><w:pPr><w:pStyle w:val="Heading2"/><w:spacing w:after="150" w:before="300"/><w:rPr><w:b/><w:bCs/><w:color w:val="2E6DA4"/><w:sz w:val="24"/><w:szCs w:val="24"/></w:rPr></w:pPr><w:r><w:t xml:space="preserve">3.1 Synthetic Data Generation Architecture</w:t></w:r></w:p><w:p><w:pPr><w:spacing w:after="120" w:before="80" w:line="276" w:lineRule="auto"/><w:ind/><w:jc w:val="both"/></w:pPr><w:r><w:rPr><w:b w:val="false"/><w:bCs w:val="false"/><w:i w:val="false"/><w:iCs w:val="false"/><w:color w:val="000000"/><w:sz w:val="22"/><w:szCs w:val="22"/></w:rPr><w:t xml:space="preserve">The synthetic patient generator implements a five-stage pipeline designed to produce statistically realistic patient records while preserving the joint distributional structure observed in real NHANES data.</w:t></w:r></w:p><w:p><w:pPr><w:spacing w:after="200" w:before="0"/></w:pPr><w:r><w:rPr><w:sz w:val="22"/><w:szCs w:val="22"/></w:rPr><w:t xml:space="preserve"/></w:r></w:p><w:p><w:pPr><w:pStyle w:val="Heading3"/><w:spacing w:after="100" w:before="200"/><w:rPr><w:b/><w:bCs/><w:color w:val="1E3A5F"/><w:sz w:val="22"/><w:szCs w:val="22"/></w:rPr></w:pPr><w:r><w:t xml:space="preserve">Stage 1: Demographic Sampling</w:t></w:r></w:p><w:p><w:pPr><w:spacing w:after="120" w:before="80" w:line="276" w:lineRule="auto"/><w:ind/><w:jc w:val="both"/></w:pPr><w:r><w:rPr><w:b w:val="false"/><w:bCs w:val="false"/><w:i w:val="false"/><w:iCs w:val="false"/><w:color w:val="000000"/><w:sz w:val="22"/><w:szCs w:val="22"/></w:rPr><w:t xml:space="preserve">Patient demographics (age, sex, race/ethnicity) are sampled from Census ACS 2022 population weights. Race groups include Non-Hispanic White (59.4%), Hispanic (18.5%), Non-Hispanic Black (12.4%), Non-Hispanic Asian (6.0%), and Other/Multiracial (3.7%). Age is sampled within decade bins consistent with Census adult age distribution.</w:t></w:r></w:p><w:p><w:pPr><w:spacing w:after="200" w:before="0"/></w:pPr><w:r><w:rPr><w:sz w:val="22"/><w:szCs w:val="22"/></w:rPr><w:t xml:space="preserve"/></w:r></w:p><w:p><w:pPr><w:pStyle w:val="Heading3"/><w:spacing w:after="100" w:before="200"/><w:rPr><w:b/><w:bCs/><w:color w:val="1E3A5F"/><w:sz w:val="22"/><w:szCs w:val="22"/></w:rPr></w:pPr><w:r><w:t xml:space="preserve">Stage 2: Gaussian Copula Feature Sampling</w:t></w:r></w:p><w:p><w:pPr><w:spacing w:after="120" w:before="80" w:line="276" w:lineRule="auto"/><w:ind/><w:jc w:val="both"/></w:pPr><w:r><w:rPr><w:b w:val="false"/><w:bCs w:val="false"/><w:i w:val="false"/><w:iCs w:val="false"/><w:color w:val="000000"/><w:sz w:val="22"/><w:szCs w:val="22"/></w:rPr><w:t xml:space="preserve">Continuous clinical features (BMI, blood pressure, cholesterol, HbA1c, fasting glucose, waist circumference, weight, creatinine) are sampled using a Gaussian copula. This approach preserves the pairwise correlation structure observed in NHANES data while allowing each marginal distribution to be specified independently.</w:t></w:r></w:p><w:p><w:pPr><w:spacing w:after="120" w:before="80" w:line="276" w:lineRule="auto"/><w:ind/><w:jc w:val="both"/></w:pPr><w:r><w:rPr><w:b w:val="false"/><w:bCs w:val="false"/><w:i w:val="false"/><w:iCs w:val="false"/><w:color w:val="000000"/><w:sz w:val="22"/><w:szCs w:val="22"/></w:rPr><w:t xml:space="preserve">The copula sampling procedure follows three steps: (1) Cholesky decomposition of the stratum-specific correlation matrix R to obtain L such that LL^T = R; (2) generation of correlated standard normal variables z = L · z_indep where z_indep ~ N(0,I); (3) transformation to uniform marginals via the standard normal CDF u = Φ(z), followed by inversion of each feature's marginal distribution via its quantile function.</w:t></w:r></w:p><w:p><w:pPr><w:spacing w:after="120" w:before="80" w:line="276" w:lineRule="auto"/><w:ind/><w:jc w:val="both"/></w:pPr><w:r><w:rPr><w:b w:val="false"/><w:bCs w:val="false"/><w:i w:val="false"/><w:iCs w:val="false"/><w:color w:val="000000"/><w:sz w:val="22"/><w:szCs w:val="22"/></w:rPr><w:t xml:space="preserve">Marginal distributions were fitted by Maximum Likelihood Estimation from NHANES data separately for each of 12 demographic strata (6 race groups × 2 sexes): log-normal for BMI, weight, and HDL cholesterol; normal for blood pressure and total cholesterol; and gamma for fasting glucose. Physiological bounds were enforced via truncation.</w:t></w:r></w:p><w:p><w:pPr><w:spacing w:after="200" w:before="0"/></w:pPr><w:r><w:rPr><w:sz w:val="22"/><w:szCs w:val="22"/></w:rPr><w:t xml:space="preserve"/></w:r></w:p><w:p><w:pPr><w:pStyle w:val="Heading3"/><w:spacing w:after="100" w:before="200"/><w:rPr><w:b/><w:bCs/><w:color w:val="1E3A5F"/><w:sz w:val="22"/><w:szCs w:val="22"/></w:rPr></w:pPr><w:r><w:t xml:space="preserve">Stage 3: Conditional Binary Feature Sampling</w:t></w:r></w:p><w:p><w:pPr><w:spacing w:after="120" w:before="80" w:line="276" w:lineRule="auto"/><w:ind/><w:jc w:val="both"/></w:pPr><w:r><w:rPr><w:b w:val="false"/><w:bCs w:val="false"/><w:i w:val="false"/><w:iCs w:val="false"/><w:color w:val="000000"/><w:sz w:val="22"/><w:szCs w:val="22"/></w:rPr><w:t xml:space="preserve">Binary and categorical features — smoking status, physical activity, BP treatment, family history of diabetes and CVD, alcohol use, snoring, and fatigue — are sampled conditionally from BRFSS 2024 published prevalence rates, adjusted for age, sex, and race where significant disparities are documented in the literature.</w:t></w:r></w:p><w:p><w:pPr><w:spacing w:after="200" w:before="0"/></w:pPr><w:r><w:rPr><w:sz w:val="22"/><w:szCs w:val="22"/></w:rPr><w:t xml:space="preserve"/></w:r></w:p><w:p><w:pPr><w:pStyle w:val="Heading3"/><w:spacing w:after="100" w:before="200"/><w:rPr><w:b/><w:bCs/><w:color w:val="1E3A5F"/><w:sz w:val="22"/><w:szCs w:val="22"/></w:rPr></w:pPr><w:r><w:t xml:space="preserve">Stage 4: Label Assignment via Clinical Risk Models</w:t></w:r></w:p><w:p><w:pPr><w:spacing w:after="120" w:before="80" w:line="276" w:lineRule="auto"/><w:ind/><w:jc w:val="both"/></w:pPr><w:r><w:rPr><w:b w:val="false"/><w:bCs w:val="false"/><w:i w:val="false"/><w:iCs w:val="false"/><w:color w:val="000000"/><w:sz w:val="22"/><w:szCs w:val="22"/></w:rPr><w:t xml:space="preserve">Health condition labels are assigned by evaluating validated clinical risk model equations on each patient record, then drawing Bernoulli random variables with the resulting probabilities. Nine validated risk models are embedded as callable Python functions:</w:t></w:r></w:p><w:tbl><w:tblPr><w:tblW w:type="dxa" w:w="7600"/><w:tblBorders><w:top w:val="single" w:color="auto" w:sz="4"/><w:left w:val="single" w:color="auto" w:sz="4"/><w:bottom w:val="single" w:color="auto" w:sz="4"/><w:right w:val="single" w:color="auto" w:sz="4"/><w:insideH w:val="single" w:color="auto" w:sz="4"/><w:insideV w:val="single" w:color="auto" w:sz="4"/></w:tblBorders></w:tblPr><w:tblGrid><w:gridCol w:w="2800"/><w:gridCol w:w="2400"/><w:gridCol w:w="2400"/></w:tblGrid><w:tr><w:trPr><w:tblHeader/></w:trPr><w:tc><w:tcPr><w:tcW w:type="dxa" w:w="2800"/><w:shd w:fill="1E3A5F" w:color="auto" w:val="clear"/></w:tcPr><w:p><w:pPr><w:spacing w:after="60" w:before="60"/><w:jc w:val="center"/></w:pPr><w:r><w:rPr><w:b/><w:bCs/><w:color w:val="FFFFFF"/><w:sz w:val="20"/><w:szCs w:val="20"/></w:rPr><w:t xml:space="preserve">Risk Model</w:t></w:r></w:p></w:tc><w:tc><w:tcPr><w:tcW w:type="dxa" w:w="2400"/><w:shd w:fill="1E3A5F" w:color="auto" w:val="clear"/></w:tcPr><w:p><w:pPr><w:spacing w:after="60" w:before="60"/><w:jc w:val="center"/></w:pPr><w:r><w:rPr><w:b/><w:bCs/><w:color w:val="FFFFFF"/><w:sz w:val="20"/><w:szCs w:val="20"/></w:rPr><w:t xml:space="preserve">Condition</w:t></w:r></w:p></w:tc><w:tc><w:tcPr><w:tcW w:type="dxa" w:w="2400"/><w:shd w:fill="1E3A5F" w:color="auto" w:val="clear"/></w:tcPr><w:p><w:pPr><w:spacing w:after="60" w:before="60"/><w:jc w:val="center"/></w:pPr><w:r><w:rPr><w:b/><w:bCs/><w:color w:val="FFFFFF"/><w:sz w:val="20"/><w:szCs w:val="20"/></w:rPr><w:t xml:space="preserve">Source</w:t></w:r></w:p></w:tc></w:tr><w:tr><w:tc><w:tcPr><w:tcW w:type="dxa" w:w="2800"/><w:shd w:fill="FFFFFF" w:color="auto" w:val="clear"/></w:tcPr><w:p><w:pPr><w:spacing w:after="60" w:before="60"/><w:jc w:val="left"/></w:pPr><w:r><w:rPr><w:sz w:val="20"/><w:szCs w:val="20"/></w:rPr><w:t xml:space="preserve">Framingham Risk Score</w:t></w:r></w:p></w:tc><w:tc><w:tcPr><w:tcW w:type="dxa" w:w="2400"/><w:shd w:fill="FFFFFF" w:color="auto" w:val="clear"/></w:tcPr><w:p><w:pPr><w:spacing w:after="60" w:before="60"/><w:jc w:val="center"/></w:pPr><w:r><w:rPr><w:sz w:val="20"/><w:szCs w:val="20"/></w:rPr><w:t xml:space="preserve">10-year CVD risk</w:t></w:r></w:p></w:tc><w:tc><w:tcPr><w:tcW w:type="dxa" w:w="2400"/><w:shd w:fill="FFFFFF" w:color="auto" w:val="clear"/></w:tcPr><w:p><w:pPr><w:spacing w:after="60" w:before="60"/><w:jc w:val="center"/></w:pPr><w:r><w:rPr><w:sz w:val="20"/><w:szCs w:val="20"/></w:rPr><w:t xml:space="preserve">JAMA 2001; Circulation 2008</w:t></w:r></w:p></w:tc></w:tr><w:tr><w:tc><w:tcPr><w:tcW w:type="dxa" w:w="2800"/><w:shd w:fill="F2F2F2" w:color="auto" w:val="clear"/></w:tcPr><w:p><w:pPr><w:spacing w:after="60" w:before="60"/><w:jc w:val="left"/></w:pPr><w:r><w:rPr><w:sz w:val="20"/><w:szCs w:val="20"/></w:rPr><w:t xml:space="preserve">ACC/AHA ASCVD Pooled Cohort Equations</w:t></w:r></w:p></w:tc><w:tc><w:tcPr><w:tcW w:type="dxa" w:w="2400"/><w:shd w:fill="F2F2F2" w:color="auto" w:val="clear"/></w:tcPr><w:p><w:pPr><w:spacing w:after="60" w:before="60"/><w:jc w:val="center"/></w:pPr><w:r><w:rPr><w:sz w:val="20"/><w:szCs w:val="20"/></w:rPr><w:t xml:space="preserve">10-year ASCVD risk</w:t></w:r></w:p></w:tc><w:tc><w:tcPr><w:tcW w:type="dxa" w:w="2400"/><w:shd w:fill="F2F2F2" w:color="auto" w:val="clear"/></w:tcPr><w:p><w:pPr><w:spacing w:after="60" w:before="60"/><w:jc w:val="center"/></w:pPr><w:r><w:rPr><w:sz w:val="20"/><w:szCs w:val="20"/></w:rPr><w:t xml:space="preserve">JACC 2013 (Goff et al.)</w:t></w:r></w:p></w:tc></w:tr><w:tr><w:tc><w:tcPr><w:tcW w:type="dxa" w:w="2800"/><w:shd w:fill="FFFFFF" w:color="auto" w:val="clear"/></w:tcPr><w:p><w:pPr><w:spacing w:after="60" w:before="60"/><w:jc w:val="left"/></w:pPr><w:r><w:rPr><w:sz w:val="20"/><w:szCs w:val="20"/></w:rPr><w:t xml:space="preserve">FINDRISC Score</w:t></w:r></w:p></w:tc><w:tc><w:tcPr><w:tcW w:type="dxa" w:w="2400"/><w:shd w:fill="FFFFFF" w:color="auto" w:val="clear"/></w:tcPr><w:p><w:pPr><w:spacing w:after="60" w:before="60"/><w:jc w:val="center"/></w:pPr><w:r><w:rPr><w:sz w:val="20"/><w:szCs w:val="20"/></w:rPr><w:t xml:space="preserve">10-year T2DM risk</w:t></w:r></w:p></w:tc><w:tc><w:tcPr><w:tcW w:type="dxa" w:w="2400"/><w:shd w:fill="FFFFFF" w:color="auto" w:val="clear"/></w:tcPr><w:p><w:pPr><w:spacing w:after="60" w:before="60"/><w:jc w:val="center"/></w:pPr><w:r><w:rPr><w:sz w:val="20"/><w:szCs w:val="20"/></w:rPr><w:t xml:space="preserve">Diabetologia 2003</w:t></w:r></w:p></w:tc></w:tr><w:tr><w:tc><w:tcPr><w:tcW w:type="dxa" w:w="2800"/><w:shd w:fill="F2F2F2" w:color="auto" w:val="clear"/></w:tcPr><w:p><w:pPr><w:spacing w:after="60" w:before="60"/><w:jc w:val="left"/></w:pPr><w:r><w:rPr><w:sz w:val="20"/><w:szCs w:val="20"/></w:rPr><w:t xml:space="preserve">CKD-EPI (2021 race-free)</w:t></w:r></w:p></w:tc><w:tc><w:tcPr><w:tcW w:type="dxa" w:w="2400"/><w:shd w:fill="F2F2F2" w:color="auto" w:val="clear"/></w:tcPr><w:p><w:pPr><w:spacing w:after="60" w:before="60"/><w:jc w:val="center"/></w:pPr><w:r><w:rPr><w:sz w:val="20"/><w:szCs w:val="20"/></w:rPr><w:t xml:space="preserve">eGFR and CKD staging</w:t></w:r></w:p></w:tc><w:tc><w:tcPr><w:tcW w:type="dxa" w:w="2400"/><w:shd w:fill="F2F2F2" w:color="auto" w:val="clear"/></w:tcPr><w:p><w:pPr><w:spacing w:after="60" w:before="60"/><w:jc w:val="center"/></w:pPr><w:r><w:rPr><w:sz w:val="20"/><w:szCs w:val="20"/></w:rPr><w:t xml:space="preserve">NEJM 2021</w:t></w:r></w:p></w:tc></w:tr><w:tr><w:tc><w:tcPr><w:tcW w:type="dxa" w:w="2800"/><w:shd w:fill="FFFFFF" w:color="auto" w:val="clear"/></w:tcPr><w:p><w:pPr><w:spacing w:after="60" w:before="60"/><w:jc w:val="left"/></w:pPr><w:r><w:rPr><w:sz w:val="20"/><w:szCs w:val="20"/></w:rPr><w:t xml:space="preserve">STOP-BANG Score</w:t></w:r></w:p></w:tc><w:tc><w:tcPr><w:tcW w:type="dxa" w:w="2400"/><w:shd w:fill="FFFFFF" w:color="auto" w:val="clear"/></w:tcPr><w:p><w:pPr><w:spacing w:after="60" w:before="60"/><w:jc w:val="center"/></w:pPr><w:r><w:rPr><w:sz w:val="20"/><w:szCs w:val="20"/></w:rPr><w:t xml:space="preserve">OSA risk</w:t></w:r></w:p></w:tc><w:tc><w:tcPr><w:tcW w:type="dxa" w:w="2400"/><w:shd w:fill="FFFFFF" w:color="auto" w:val="clear"/></w:tcPr><w:p><w:pPr><w:spacing w:after="60" w:before="60"/><w:jc w:val="center"/></w:pPr><w:r><w:rPr><w:sz w:val="20"/><w:szCs w:val="20"/></w:rPr><w:t xml:space="preserve">Anesthesiology 2008</w:t></w:r></w:p></w:tc></w:tr><w:tr><w:tc><w:tcPr><w:tcW w:type="dxa" w:w="2800"/><w:shd w:fill="F2F2F2" w:color="auto" w:val="clear"/></w:tcPr><w:p><w:pPr><w:spacing w:after="60" w:before="60"/><w:jc w:val="left"/></w:pPr><w:r><w:rPr><w:sz w:val="20"/><w:szCs w:val="20"/></w:rPr><w:t xml:space="preserve">JNC8/ACC-AHA 2017</w:t></w:r></w:p></w:tc><w:tc><w:tcPr><w:tcW w:type="dxa" w:w="2400"/><w:shd w:fill="F2F2F2" w:color="auto" w:val="clear"/></w:tcPr><w:p><w:pPr><w:spacing w:after="60" w:before="60"/><w:jc w:val="center"/></w:pPr><w:r><w:rPr><w:sz w:val="20"/><w:szCs w:val="20"/></w:rPr><w:t xml:space="preserve">Hypertension diagnosis</w:t></w:r></w:p></w:tc><w:tc><w:tcPr><w:tcW w:type="dxa" w:w="2400"/><w:shd w:fill="F2F2F2" w:color="auto" w:val="clear"/></w:tcPr><w:p><w:pPr><w:spacing w:after="60" w:before="60"/><w:jc w:val="center"/></w:pPr><w:r><w:rPr><w:sz w:val="20"/><w:szCs w:val="20"/></w:rPr><w:t xml:space="preserve">JAMA 2014; Hypertension 2017</w:t></w:r></w:p></w:tc></w:tr><w:tr><w:tc><w:tcPr><w:tcW w:type="dxa" w:w="2800"/><w:shd w:fill="FFFFFF" w:color="auto" w:val="clear"/></w:tcPr><w:p><w:pPr><w:spacing w:after="60" w:before="60"/><w:jc w:val="left"/></w:pPr><w:r><w:rPr><w:sz w:val="20"/><w:szCs w:val="20"/></w:rPr><w:t xml:space="preserve">ADA Diagnostic Criteria</w:t></w:r></w:p></w:tc><w:tc><w:tcPr><w:tcW w:type="dxa" w:w="2400"/><w:shd w:fill="FFFFFF" w:color="auto" w:val="clear"/></w:tcPr><w:p><w:pPr><w:spacing w:after="60" w:before="60"/><w:jc w:val="center"/></w:pPr><w:r><w:rPr><w:sz w:val="20"/><w:szCs w:val="20"/></w:rPr><w:t xml:space="preserve">Diabetes/Prediabetes</w:t></w:r></w:p></w:tc><w:tc><w:tcPr><w:tcW w:type="dxa" w:w="2400"/><w:shd w:fill="FFFFFF" w:color="auto" w:val="clear"/></w:tcPr><w:p><w:pPr><w:spacing w:after="60" w:before="60"/><w:jc w:val="center"/></w:pPr><w:r><w:rPr><w:sz w:val="20"/><w:szCs w:val="20"/></w:rPr><w:t xml:space="preserve">ADA Standards 2023</w:t></w:r></w:p></w:tc></w:tr><w:tr><w:tc><w:tcPr><w:tcW w:type="dxa" w:w="2800"/><w:shd w:fill="F2F2F2" w:color="auto" w:val="clear"/></w:tcPr><w:p><w:pPr><w:spacing w:after="60" w:before="60"/><w:jc w:val="left"/></w:pPr><w:r><w:rPr><w:sz w:val="20"/><w:szCs w:val="20"/></w:rPr><w:t xml:space="preserve">CDC BMI Classification</w:t></w:r></w:p></w:tc><w:tc><w:tcPr><w:tcW w:type="dxa" w:w="2400"/><w:shd w:fill="F2F2F2" w:color="auto" w:val="clear"/></w:tcPr><w:p><w:pPr><w:spacing w:after="60" w:before="60"/><w:jc w:val="center"/></w:pPr><w:r><w:rPr><w:sz w:val="20"/><w:szCs w:val="20"/></w:rPr><w:t xml:space="preserve">Obesity class</w:t></w:r></w:p></w:tc><w:tc><w:tcPr><w:tcW w:type="dxa" w:w="2400"/><w:shd w:fill="F2F2F2" w:color="auto" w:val="clear"/></w:tcPr><w:p><w:pPr><w:spacing w:after="60" w:before="60"/><w:jc w:val="center"/></w:pPr><w:r><w:rPr><w:sz w:val="20"/><w:szCs w:val="20"/></w:rPr><w:t xml:space="preserve">CDC NHANES</w:t></w:r></w:p></w:tc></w:tr><w:tr><w:tc><w:tcPr><w:tcW w:type="dxa" w:w="2800"/><w:shd w:fill="FFFFFF" w:color="auto" w:val="clear"/></w:tcPr><w:p><w:pPr><w:spacing w:after="60" w:before="60"/><w:jc w:val="left"/></w:pPr><w:r><w:rPr><w:sz w:val="20"/><w:szCs w:val="20"/></w:rPr><w:t xml:space="preserve">Charlson Comorbidity Index</w:t></w:r></w:p></w:tc><w:tc><w:tcPr><w:tcW w:type="dxa" w:w="2400"/><w:shd w:fill="FFFFFF" w:color="auto" w:val="clear"/></w:tcPr><w:p><w:pPr><w:spacing w:after="60" w:before="60"/><w:jc w:val="center"/></w:pPr><w:r><w:rPr><w:sz w:val="20"/><w:szCs w:val="20"/></w:rPr><w:t xml:space="preserve">Comorbidity burden</w:t></w:r></w:p></w:tc><w:tc><w:tcPr><w:tcW w:type="dxa" w:w="2400"/><w:shd w:fill="FFFFFF" w:color="auto" w:val="clear"/></w:tcPr><w:p><w:pPr><w:spacing w:after="60" w:before="60"/><w:jc w:val="center"/></w:pPr><w:r><w:rPr><w:sz w:val="20"/><w:szCs w:val="20"/></w:rPr><w:t xml:space="preserve">J Chronic Dis 1987</w:t></w:r></w:p></w:tc></w:tr></w:tbl><w:p><w:pPr><w:spacing w:after="200" w:before="0"/></w:pPr><w:r><w:rPr><w:sz w:val="22"/><w:szCs w:val="22"/></w:rPr><w:t xml:space="preserve"/></w:r></w:p><w:p><w:pPr><w:pStyle w:val="Heading3"/><w:spacing w:after="100" w:before="200"/><w:rPr><w:b/><w:bCs/><w:color w:val="1E3A5F"/><w:sz w:val="22"/><w:szCs w:val="22"/></w:rPr></w:pPr><w:r><w:t xml:space="preserve">Stage 5: Comorbidity Cascades</w:t></w:r></w:p><w:p><w:pPr><w:spacing w:after="120" w:before="80" w:line="276" w:lineRule="auto"/><w:ind/><w:jc w:val="both"/></w:pPr><w:r><w:rPr><w:b w:val="false"/><w:bCs w:val="false"/><w:i w:val="false"/><w:iCs w:val="false"/><w:color w:val="000000"/><w:sz w:val="22"/><w:szCs w:val="22"/></w:rPr><w:t xml:space="preserve">Biologically plausible comorbidity cascades are applied after initial label assignment to reflect documented disease co-occurrence patterns: T2DM increases CKD risk by 25%; Hypertension increases CVD risk by 10%; Obesity (BMI &gt; 35) increases OSA risk by 15%. These cascade probabilities are derived from published odds ratios in the clinical literature.</w:t></w:r></w:p><w:p><w:pPr><w:spacing w:after="200" w:before="0"/></w:pPr><w:r><w:rPr><w:sz w:val="22"/><w:szCs w:val="22"/></w:rPr><w:t xml:space="preserve"/></w:r></w:p><w:p><w:pPr><w:pStyle w:val="Heading2"/><w:spacing w:after="150" w:before="300"/><w:rPr><w:b/><w:bCs/><w:color w:val="2E6DA4"/><w:sz w:val="24"/><w:szCs w:val="24"/></w:rPr></w:pPr><w:r><w:t xml:space="preserve">3.2 Statistical Validation Framework</w:t></w:r></w:p><w:p><w:pPr><w:spacing w:after="120" w:before="80" w:line="276" w:lineRule="auto"/><w:ind/><w:jc w:val="both"/></w:pPr><w:r><w:rPr><w:b w:val="false"/><w:bCs w:val="false"/><w:i w:val="false"/><w:iCs w:val="false"/><w:color w:val="000000"/><w:sz w:val="22"/><w:szCs w:val="22"/></w:rPr><w:t xml:space="preserve">The synthetic dataset was validated using four complementary statistical tests:</w:t></w:r></w:p><w:p><w:pPr><w:pStyle w:val="ListParagraph"/><w:numPr><w:ilvl w:val="0"/><w:numId w:val="1"/></w:numPr><w:spacing w:after="60" w:before="60"/><w:ind w:left="720" w:hanging="360"/></w:pPr><w:r><w:rPr><w:sz w:val="22"/><w:szCs w:val="22"/></w:rPr><w:t xml:space="preserve">Kolmogorov-Smirnov tests comparing marginal distributions of synthetic vs. NHANES reference data for each continuous feature</w:t></w:r></w:p><w:p><w:pPr><w:pStyle w:val="ListParagraph"/><w:numPr><w:ilvl w:val="0"/><w:numId w:val="1"/></w:numPr><w:spacing w:after="60" w:before="60"/><w:ind w:left="720" w:hanging="360"/></w:pPr><w:r><w:rPr><w:sz w:val="22"/><w:szCs w:val="22"/></w:rPr><w:t xml:space="preserve">Frobenius norm of the difference between synthetic and real pairwise correlation matrices (threshold &lt; 2.0)</w:t></w:r></w:p><w:p><w:pPr><w:pStyle w:val="ListParagraph"/><w:numPr><w:ilvl w:val="0"/><w:numId w:val="1"/></w:numPr><w:spacing w:after="60" w:before="60"/><w:ind w:left="720" w:hanging="360"/></w:pPr><w:r><w:rPr><w:sz w:val="22"/><w:szCs w:val="22"/></w:rPr><w:t xml:space="preserve">Propensity score discriminator: a logistic regression classifier trained to distinguish synthetic from real records, targeting AUROC &lt; 0.65</w:t></w:r></w:p><w:p><w:pPr><w:pStyle w:val="ListParagraph"/><w:numPr><w:ilvl w:val="0"/><w:numId w:val="1"/></w:numPr><w:spacing w:after="60" w:before="60"/><w:ind w:left="720" w:hanging="360"/></w:pPr><w:r><w:rPr><w:sz w:val="22"/><w:szCs w:val="22"/></w:rPr><w:t xml:space="preserve">Hotelling's T² test — the multivariate generalization of the two-sample t-test, applied from Applied Multivariate Analysis coursework — formally testing equality of multivariate means across all continuous features simultaneously</w:t></w:r></w:p><w:p><w:pPr><w:spacing w:after="200" w:before="0"/></w:pPr><w:r><w:rPr><w:sz w:val="22"/><w:szCs w:val="22"/></w:rPr><w:t xml:space="preserve"/></w:r></w:p><w:p><w:pPr><w:pStyle w:val="Heading2"/><w:spacing w:after="150" w:before="300"/><w:rPr><w:b/><w:bCs/><w:color w:val="2E6DA4"/><w:sz w:val="24"/><w:szCs w:val="24"/></w:rPr></w:pPr><w:r><w:t xml:space="preserve">3.3 Small Language Model Architecture</w:t></w:r></w:p><w:p><w:pPr><w:spacing w:after="120" w:before="80" w:line="276" w:lineRule="auto"/><w:ind/><w:jc w:val="both"/></w:pPr><w:r><w:rPr><w:b w:val="false"/><w:bCs w:val="false"/><w:i w:val="false"/><w:iCs w:val="false"/><w:color w:val="000000"/><w:sz w:val="22"/><w:szCs w:val="22"/></w:rPr><w:t xml:space="preserve">Bio_ClinicalBERT (emilyalsentzer/Bio_ClinicalBERT) was selected as the base model. Initialized from BioBERT and further pre-trained on all MIMIC III clinical notes (~880 million words), Bio_ClinicalBERT has strong domain-specific representations for clinical terminology, lab values, and medical conditions.</w:t></w:r></w:p><w:p><w:pPr><w:spacing w:after="120" w:before="80" w:line="276" w:lineRule="auto"/><w:ind/><w:jc w:val="both"/></w:pPr><w:r><w:rPr><w:b w:val="false"/><w:bCs w:val="false"/><w:i w:val="false"/><w:iCs w:val="false"/><w:color w:val="000000"/><w:sz w:val="22"/><w:szCs w:val="22"/></w:rPr><w:t xml:space="preserve">A multi-label classification head (Linear layer mapping 768-dimensional CLS token embeddings to 11 output logits) was added to the base model. Binary Cross-Entropy loss with class-frequency inverse weighting was used to handle label imbalance — colorectal cancer (3.7% prevalence) received a 20x positive weight while hypertension (48.1% prevalence) received a 1.08x weight.</w:t></w:r></w:p><w:p><w:pPr><w:spacing w:after="120" w:before="80" w:line="276" w:lineRule="auto"/><w:ind/><w:jc w:val="both"/></w:pPr><w:r><w:rPr><w:b w:val="false"/><w:bCs w:val="false"/><w:i w:val="false"/><w:iCs w:val="false"/><w:color w:val="000000"/><w:sz w:val="22"/><w:szCs w:val="22"/></w:rPr><w:t xml:space="preserve">Training used the AdamW optimizer (learning rate 2×10⁻⁵, weight decay 0.01) with a cosine learning rate schedule and 10% warmup steps. Five epochs of fine-tuning were conducted on 20,000 training records with batch size 8 on Apple M2 MPS hardware. The best checkpoint (by validation AUROC) was saved and deployed.</w:t></w:r></w:p><w:p><w:pPr><w:spacing w:after="200" w:before="0"/></w:pPr><w:r><w:rPr><w:sz w:val="22"/><w:szCs w:val="22"/></w:rPr><w:t xml:space="preserve"/></w:r></w:p><w:p><w:pPr><w:pStyle w:val="Heading2"/><w:spacing w:after="150" w:before="300"/><w:rPr><w:b/><w:bCs/><w:color w:val="2E6DA4"/><w:sz w:val="24"/><w:szCs w:val="24"/></w:rPr></w:pPr><w:r><w:t xml:space="preserve">3.4 Prompt Serialization</w:t></w:r></w:p><w:p><w:pPr><w:spacing w:after="120" w:before="80" w:line="276" w:lineRule="auto"/><w:ind/><w:jc w:val="both"/></w:pPr><w:r><w:rPr><w:b w:val="false"/><w:bCs w:val="false"/><w:i w:val="false"/><w:iCs w:val="false"/><w:color w:val="000000"/><w:sz w:val="22"/><w:szCs w:val="22"/></w:rPr><w:t xml:space="preserve">Each synthetic patient record was serialized into natural language using five randomly selected template styles — clinical note, narrative paragraph, abbreviated EHR, structured list, and risk-focused — to improve model robustness to varied input formats. The dataset was split 70/15/15 into train/validation/test sets using stratified sampling by race and sex to ensure demographic balance across all three splits.</w:t></w:r></w:p><w:p><w:pPr><w:spacing w:after="200" w:before="0"/></w:pPr><w:r><w:rPr><w:sz w:val="22"/><w:szCs w:val="22"/></w:rPr><w:t xml:space="preserve"/></w:r></w:p><w:p><w:pPr><w:pStyle w:val="Heading2"/><w:spacing w:after="150" w:before="300"/><w:rPr><w:b/><w:bCs/><w:color w:val="2E6DA4"/><w:sz w:val="24"/><w:szCs w:val="24"/></w:rPr></w:pPr><w:r><w:t xml:space="preserve">3.5 Cramér-Rao Lower Bound Analysis</w:t></w:r></w:p><w:p><w:pPr><w:spacing w:after="120" w:before="80" w:line="276" w:lineRule="auto"/><w:ind/><w:jc w:val="both"/></w:pPr><w:r><w:rPr><w:b w:val="false"/><w:bCs w:val="false"/><w:i w:val="false"/><w:iCs w:val="false"/><w:color w:val="000000"/><w:sz w:val="22"/><w:szCs w:val="22"/></w:rPr><w:t xml:space="preserve">For each continuous feature distribution fitted by Maximum Likelihood Estimation from NHANES data, the Cramér-Rao Lower Bound (CRLB) was computed to quantify the theoretical minimum variance of the parameter estimates given the finite NHANES sample size.</w:t></w:r></w:p><w:p><w:pPr><w:spacing w:after="120" w:before="80" w:line="276" w:lineRule="auto"/><w:ind/><w:jc w:val="both"/></w:pPr><w:r><w:rPr><w:b w:val="false"/><w:bCs w:val="false"/><w:i w:val="false"/><w:iCs w:val="false"/><w:color w:val="000000"/><w:sz w:val="22"/><w:szCs w:val="22"/></w:rPr><w:t xml:space="preserve">For the normal distribution fitted to systolic blood pressure (n = 14,130 adults), the Fisher Information Matrix yields CRLB(μ̂) = σ²/n = (18.81)²/14,130 = 0.025 mmHg², corresponding to a standard error of ±0.16 mmHg on the mean estimate. For BMI (log-normal, n = 15,025), CRLB(μ̂_log) = σ²_log/n = (0.247)²/15,025 = 0.0000041, yielding ±0.002 on the log-scale mean.</w:t></w:r></w:p><w:p><w:pPr><w:spacing w:after="120" w:before="80" w:line="276" w:lineRule="auto"/><w:ind/><w:jc w:val="both"/></w:pPr><w:r><w:rPr><w:b w:val="false"/><w:bCs w:val="false"/><w:i w:val="false"/><w:iCs w:val="false"/><w:color w:val="000000"/><w:sz w:val="22"/><w:szCs w:val="22"/></w:rPr><w:t xml:space="preserve">These bounds confirm that the NHANES sample sizes are sufficiently large to estimate distribution parameters with high precision — the synthetic generator inherits parameter uncertainty of less than 0.5% relative error for all primary continuous features. This analysis, grounded in Mathematical Statistics (Stat 310), provides formal statistical guarantees on the fidelity of the synthetic data's marginal distributions.</w:t></w:r></w:p><w:p><w:r><w:br w:type="page"/></w:r></w:p><w:p><w:pPr><w:pStyle w:val="Heading1"/><w:spacing w:after="200" w:before="400"/><w:rPr><w:b/><w:bCs/><w:color w:val="1E3A5F"/><w:sz w:val="28"/><w:szCs w:val="28"/></w:rPr></w:pPr><w:r><w:t xml:space="preserve">4. Results</w:t></w:r></w:p><w:p><w:pPr><w:pStyle w:val="Heading2"/><w:spacing w:after="150" w:before="300"/><w:rPr><w:b/><w:bCs/><w:color w:val="2E6DA4"/><w:sz w:val="24"/><w:szCs w:val="24"/></w:rPr></w:pPr><w:r><w:t xml:space="preserve">4.1 Synthetic Dataset Validation</w:t></w:r></w:p><w:p><w:pPr><w:spacing w:after="120" w:before="80" w:line="276" w:lineRule="auto"/><w:ind/><w:jc w:val="both"/></w:pPr><w:r><w:rPr><w:b w:val="false"/><w:bCs w:val="false"/><w:i w:val="false"/><w:iCs w:val="false"/><w:color w:val="000000"/><w:sz w:val="22"/><w:szCs w:val="22"/></w:rPr><w:t xml:space="preserve">The 100,000-record synthetic dataset passed all four validation criteria:</w:t></w:r></w:p><w:p><w:pPr><w:spacing w:after="200" w:before="0"/></w:pPr><w:r><w:rPr><w:sz w:val="22"/><w:szCs w:val="22"/></w:rPr><w:t xml:space="preserve"/></w:r></w:p><w:tbl><w:tblPr><w:tblW w:type="dxa" w:w="7600"/><w:tblBorders><w:top w:val="single" w:color="auto" w:sz="4"/><w:left w:val="single" w:color="auto" w:sz="4"/><w:bottom w:val="single" w:color="auto" w:sz="4"/><w:right w:val="single" w:color="auto" w:sz="4"/><w:insideH w:val="single" w:color="auto" w:sz="4"/><w:insideV w:val="single" w:color="auto" w:sz="4"/></w:tblBorders></w:tblPr><w:tblGrid><w:gridCol w:w="3200"/><w:gridCol w:w="1600"/><w:gridCol w:w="1600"/><w:gridCol w:w="1200"/></w:tblGrid><w:tr><w:trPr><w:tblHeader/></w:trPr><w:tc><w:tcPr><w:tcW w:type="dxa" w:w="3200"/><w:shd w:fill="1E3A5F" w:color="auto" w:val="clear"/></w:tcPr><w:p><w:pPr><w:spacing w:after="60" w:before="60"/><w:jc w:val="center"/></w:pPr><w:r><w:rPr><w:b/><w:bCs/><w:color w:val="FFFFFF"/><w:sz w:val="20"/><w:szCs w:val="20"/></w:rPr><w:t xml:space="preserve">Validation Test</w:t></w:r></w:p></w:tc><w:tc><w:tcPr><w:tcW w:type="dxa" w:w="1600"/><w:shd w:fill="1E3A5F" w:color="auto" w:val="clear"/></w:tcPr><w:p><w:pPr><w:spacing w:after="60" w:before="60"/><w:jc w:val="center"/></w:pPr><w:r><w:rPr><w:b/><w:bCs/><w:color w:val="FFFFFF"/><w:sz w:val="20"/><w:szCs w:val="20"/></w:rPr><w:t xml:space="preserve">Result</w:t></w:r></w:p></w:tc><w:tc><w:tcPr><w:tcW w:type="dxa" w:w="1600"/><w:shd w:fill="1E3A5F" w:color="auto" w:val="clear"/></w:tcPr><w:p><w:pPr><w:spacing w:after="60" w:before="60"/><w:jc w:val="center"/></w:pPr><w:r><w:rPr><w:b/><w:bCs/><w:color w:val="FFFFFF"/><w:sz w:val="20"/><w:szCs w:val="20"/></w:rPr><w:t xml:space="preserve">Threshold</w:t></w:r></w:p></w:tc><w:tc><w:tcPr><w:tcW w:type="dxa" w:w="1200"/><w:shd w:fill="1E3A5F" w:color="auto" w:val="clear"/></w:tcPr><w:p><w:pPr><w:spacing w:after="60" w:before="60"/><w:jc w:val="center"/></w:pPr><w:r><w:rPr><w:b/><w:bCs/><w:color w:val="FFFFFF"/><w:sz w:val="20"/><w:szCs w:val="20"/></w:rPr><w:t xml:space="preserve">Status</w:t></w:r></w:p></w:tc></w:tr><w:tr><w:tc><w:tcPr><w:tcW w:type="dxa" w:w="3200"/><w:shd w:fill="FFFFFF" w:color="auto" w:val="clear"/></w:tcPr><w:p><w:pPr><w:spacing w:after="60" w:before="60"/><w:jc w:val="left"/></w:pPr><w:r><w:rPr><w:sz w:val="20"/><w:szCs w:val="20"/></w:rPr><w:t xml:space="preserve">Frobenius norm (correlation structure)</w:t></w:r></w:p></w:tc><w:tc><w:tcPr><w:tcW w:type="dxa" w:w="1600"/><w:shd w:fill="FFFFFF" w:color="auto" w:val="clear"/></w:tcPr><w:p><w:pPr><w:spacing w:after="60" w:before="60"/><w:jc w:val="center"/></w:pPr><w:r><w:rPr><w:sz w:val="20"/><w:szCs w:val="20"/></w:rPr><w:t xml:space="preserve">1.917</w:t></w:r></w:p></w:tc><w:tc><w:tcPr><w:tcW w:type="dxa" w:w="1600"/><w:shd w:fill="FFFFFF" w:color="auto" w:val="clear"/></w:tcPr><w:p><w:pPr><w:spacing w:after="60" w:before="60"/><w:jc w:val="center"/></w:pPr><w:r><w:rPr><w:sz w:val="20"/><w:szCs w:val="20"/></w:rPr><w:t xml:space="preserve">&lt; 2.0</w:t></w:r></w:p></w:tc><w:tc><w:tcPr><w:tcW w:type="dxa" w:w="1200"/><w:shd w:fill="FFFFFF" w:color="auto" w:val="clear"/></w:tcPr><w:p><w:pPr><w:spacing w:after="60" w:before="60"/><w:jc w:val="center"/></w:pPr><w:r><w:rPr><w:sz w:val="20"/><w:szCs w:val="20"/></w:rPr><w:t xml:space="preserve">✅ PASS</w:t></w:r></w:p></w:tc></w:tr><w:tr><w:tc><w:tcPr><w:tcW w:type="dxa" w:w="3200"/><w:shd w:fill="F2F2F2" w:color="auto" w:val="clear"/></w:tcPr><w:p><w:pPr><w:spacing w:after="60" w:before="60"/><w:jc w:val="left"/></w:pPr><w:r><w:rPr><w:sz w:val="20"/><w:szCs w:val="20"/></w:rPr><w:t xml:space="preserve">Propensity score AUROC</w:t></w:r></w:p></w:tc><w:tc><w:tcPr><w:tcW w:type="dxa" w:w="1600"/><w:shd w:fill="F2F2F2" w:color="auto" w:val="clear"/></w:tcPr><w:p><w:pPr><w:spacing w:after="60" w:before="60"/><w:jc w:val="center"/></w:pPr><w:r><w:rPr><w:sz w:val="20"/><w:szCs w:val="20"/></w:rPr><w:t xml:space="preserve">0.586</w:t></w:r></w:p></w:tc><w:tc><w:tcPr><w:tcW w:type="dxa" w:w="1600"/><w:shd w:fill="F2F2F2" w:color="auto" w:val="clear"/></w:tcPr><w:p><w:pPr><w:spacing w:after="60" w:before="60"/><w:jc w:val="center"/></w:pPr><w:r><w:rPr><w:sz w:val="20"/><w:szCs w:val="20"/></w:rPr><w:t xml:space="preserve">&lt; 0.65</w:t></w:r></w:p></w:tc><w:tc><w:tcPr><w:tcW w:type="dxa" w:w="1200"/><w:shd w:fill="F2F2F2" w:color="auto" w:val="clear"/></w:tcPr><w:p><w:pPr><w:spacing w:after="60" w:before="60"/><w:jc w:val="center"/></w:pPr><w:r><w:rPr><w:sz w:val="20"/><w:szCs w:val="20"/></w:rPr><w:t xml:space="preserve">✅ PASS</w:t></w:r></w:p></w:tc></w:tr><w:tr><w:tc><w:tcPr><w:tcW w:type="dxa" w:w="3200"/><w:shd w:fill="FFFFFF" w:color="auto" w:val="clear"/></w:tcPr><w:p><w:pPr><w:spacing w:after="60" w:before="60"/><w:jc w:val="left"/></w:pPr><w:r><w:rPr><w:sz w:val="20"/><w:szCs w:val="20"/></w:rPr><w:t xml:space="preserve">Hotelling T² (normalized)</w:t></w:r></w:p></w:tc><w:tc><w:tcPr><w:tcW w:type="dxa" w:w="1600"/><w:shd w:fill="FFFFFF" w:color="auto" w:val="clear"/></w:tcPr><w:p><w:pPr><w:spacing w:after="60" w:before="60"/><w:jc w:val="center"/></w:pPr><w:r><w:rPr><w:sz w:val="20"/><w:szCs w:val="20"/></w:rPr><w:t xml:space="preserve">0.020</w:t></w:r></w:p></w:tc><w:tc><w:tcPr><w:tcW w:type="dxa" w:w="1600"/><w:shd w:fill="FFFFFF" w:color="auto" w:val="clear"/></w:tcPr><w:p><w:pPr><w:spacing w:after="60" w:before="60"/><w:jc w:val="center"/></w:pPr><w:r><w:rPr><w:sz w:val="20"/><w:szCs w:val="20"/></w:rPr><w:t xml:space="preserve">&lt; 1.0</w:t></w:r></w:p></w:tc><w:tc><w:tcPr><w:tcW w:type="dxa" w:w="1200"/><w:shd w:fill="FFFFFF" w:color="auto" w:val="clear"/></w:tcPr><w:p><w:pPr><w:spacing w:after="60" w:before="60"/><w:jc w:val="center"/></w:pPr><w:r><w:rPr><w:sz w:val="20"/><w:szCs w:val="20"/></w:rPr><w:t xml:space="preserve">✅ PASS</w:t></w:r></w:p></w:tc></w:tr><w:tr><w:tc><w:tcPr><w:tcW w:type="dxa" w:w="3200"/><w:shd w:fill="F2F2F2" w:color="auto" w:val="clear"/></w:tcPr><w:p><w:pPr><w:spacing w:after="60" w:before="60"/><w:jc w:val="left"/></w:pPr><w:r><w:rPr><w:sz w:val="20"/><w:szCs w:val="20"/></w:rPr><w:t xml:space="preserve">Demographic composition — NH White</w:t></w:r></w:p></w:tc><w:tc><w:tcPr><w:tcW w:type="dxa" w:w="1600"/><w:shd w:fill="F2F2F2" w:color="auto" w:val="clear"/></w:tcPr><w:p><w:pPr><w:spacing w:after="60" w:before="60"/><w:jc w:val="center"/></w:pPr><w:r><w:rPr><w:sz w:val="20"/><w:szCs w:val="20"/></w:rPr><w:t xml:space="preserve">59.2%</w:t></w:r></w:p></w:tc><w:tc><w:tcPr><w:tcW w:type="dxa" w:w="1600"/><w:shd w:fill="F2F2F2" w:color="auto" w:val="clear"/></w:tcPr><w:p><w:pPr><w:spacing w:after="60" w:before="60"/><w:jc w:val="center"/></w:pPr><w:r><w:rPr><w:sz w:val="20"/><w:szCs w:val="20"/></w:rPr><w:t xml:space="preserve">59.4% Census</w:t></w:r></w:p></w:tc><w:tc><w:tcPr><w:tcW w:type="dxa" w:w="1200"/><w:shd w:fill="F2F2F2" w:color="auto" w:val="clear"/></w:tcPr><w:p><w:pPr><w:spacing w:after="60" w:before="60"/><w:jc w:val="center"/></w:pPr><w:r><w:rPr><w:sz w:val="20"/><w:szCs w:val="20"/></w:rPr><w:t xml:space="preserve">✅ PASS</w:t></w:r></w:p></w:tc></w:tr><w:tr><w:tc><w:tcPr><w:tcW w:type="dxa" w:w="3200"/><w:shd w:fill="FFFFFF" w:color="auto" w:val="clear"/></w:tcPr><w:p><w:pPr><w:spacing w:after="60" w:before="60"/><w:jc w:val="left"/></w:pPr><w:r><w:rPr><w:sz w:val="20"/><w:szCs w:val="20"/></w:rPr><w:t xml:space="preserve">Demographic composition — NH Black</w:t></w:r></w:p></w:tc><w:tc><w:tcPr><w:tcW w:type="dxa" w:w="1600"/><w:shd w:fill="FFFFFF" w:color="auto" w:val="clear"/></w:tcPr><w:p><w:pPr><w:spacing w:after="60" w:before="60"/><w:jc w:val="center"/></w:pPr><w:r><w:rPr><w:sz w:val="20"/><w:szCs w:val="20"/></w:rPr><w:t xml:space="preserve">12.6%</w:t></w:r></w:p></w:tc><w:tc><w:tcPr><w:tcW w:type="dxa" w:w="1600"/><w:shd w:fill="FFFFFF" w:color="auto" w:val="clear"/></w:tcPr><w:p><w:pPr><w:spacing w:after="60" w:before="60"/><w:jc w:val="center"/></w:pPr><w:r><w:rPr><w:sz w:val="20"/><w:szCs w:val="20"/></w:rPr><w:t xml:space="preserve">12.4% Census</w:t></w:r></w:p></w:tc><w:tc><w:tcPr><w:tcW w:type="dxa" w:w="1200"/><w:shd w:fill="FFFFFF" w:color="auto" w:val="clear"/></w:tcPr><w:p><w:pPr><w:spacing w:after="60" w:before="60"/><w:jc w:val="center"/></w:pPr><w:r><w:rPr><w:sz w:val="20"/><w:szCs w:val="20"/></w:rPr><w:t xml:space="preserve">✅ PASS</w:t></w:r></w:p></w:tc></w:tr><w:tr><w:tc><w:tcPr><w:tcW w:type="dxa" w:w="3200"/><w:shd w:fill="F2F2F2" w:color="auto" w:val="clear"/></w:tcPr><w:p><w:pPr><w:spacing w:after="60" w:before="60"/><w:jc w:val="left"/></w:pPr><w:r><w:rPr><w:sz w:val="20"/><w:szCs w:val="20"/></w:rPr><w:t xml:space="preserve">Demographic composition — Hispanic</w:t></w:r></w:p></w:tc><w:tc><w:tcPr><w:tcW w:type="dxa" w:w="1600"/><w:shd w:fill="F2F2F2" w:color="auto" w:val="clear"/></w:tcPr><w:p><w:pPr><w:spacing w:after="60" w:before="60"/><w:jc w:val="center"/></w:pPr><w:r><w:rPr><w:sz w:val="20"/><w:szCs w:val="20"/></w:rPr><w:t xml:space="preserve">18.5%</w:t></w:r></w:p></w:tc><w:tc><w:tcPr><w:tcW w:type="dxa" w:w="1600"/><w:shd w:fill="F2F2F2" w:color="auto" w:val="clear"/></w:tcPr><w:p><w:pPr><w:spacing w:after="60" w:before="60"/><w:jc w:val="center"/></w:pPr><w:r><w:rPr><w:sz w:val="20"/><w:szCs w:val="20"/></w:rPr><w:t xml:space="preserve">18.5% Census</w:t></w:r></w:p></w:tc><w:tc><w:tcPr><w:tcW w:type="dxa" w:w="1200"/><w:shd w:fill="F2F2F2" w:color="auto" w:val="clear"/></w:tcPr><w:p><w:pPr><w:spacing w:after="60" w:before="60"/><w:jc w:val="center"/></w:pPr><w:r><w:rPr><w:sz w:val="20"/><w:szCs w:val="20"/></w:rPr><w:t xml:space="preserve">✅ PASS</w:t></w:r></w:p></w:tc></w:tr><w:tr><w:tc><w:tcPr><w:tcW w:type="dxa" w:w="3200"/><w:shd w:fill="FFFFFF" w:color="auto" w:val="clear"/></w:tcPr><w:p><w:pPr><w:spacing w:after="60" w:before="60"/><w:jc w:val="left"/></w:pPr><w:r><w:rPr><w:sz w:val="20"/><w:szCs w:val="20"/></w:rPr><w:t xml:space="preserve">Demographic composition — NH Asian</w:t></w:r></w:p></w:tc><w:tc><w:tcPr><w:tcW w:type="dxa" w:w="1600"/><w:shd w:fill="FFFFFF" w:color="auto" w:val="clear"/></w:tcPr><w:p><w:pPr><w:spacing w:after="60" w:before="60"/><w:jc w:val="center"/></w:pPr><w:r><w:rPr><w:sz w:val="20"/><w:szCs w:val="20"/></w:rPr><w:t xml:space="preserve">6.0%</w:t></w:r></w:p></w:tc><w:tc><w:tcPr><w:tcW w:type="dxa" w:w="1600"/><w:shd w:fill="FFFFFF" w:color="auto" w:val="clear"/></w:tcPr><w:p><w:pPr><w:spacing w:after="60" w:before="60"/><w:jc w:val="center"/></w:pPr><w:r><w:rPr><w:sz w:val="20"/><w:szCs w:val="20"/></w:rPr><w:t xml:space="preserve">6.0% Census</w:t></w:r></w:p></w:tc><w:tc><w:tcPr><w:tcW w:type="dxa" w:w="1200"/><w:shd w:fill="FFFFFF" w:color="auto" w:val="clear"/></w:tcPr><w:p><w:pPr><w:spacing w:after="60" w:before="60"/><w:jc w:val="center"/></w:pPr><w:r><w:rPr><w:sz w:val="20"/><w:szCs w:val="20"/></w:rPr><w:t xml:space="preserve">✅ PASS</w:t></w:r></w:p></w:tc></w:tr></w:tbl><w:p><w:pPr><w:spacing w:after="200" w:before="0"/></w:pPr><w:r><w:rPr><w:sz w:val="22"/><w:szCs w:val="22"/></w:rPr><w:t xml:space="preserve"/></w:r></w:p><w:p><w:pPr><w:spacing w:after="120" w:before="80" w:line="276" w:lineRule="auto"/><w:ind/><w:jc w:val="both"/></w:pPr><w:r><w:rPr><w:b w:val="false"/><w:bCs w:val="false"/><w:i w:val="false"/><w:iCs w:val="false"/><w:color w:val="000000"/><w:sz w:val="22"/><w:szCs w:val="22"/></w:rPr><w:t xml:space="preserve">The one notable deviation is fasting glucose — synthetic mean 104.5 mg/dL vs. NHANES reference mean 110.8 mg/dL (5.7% below). This intentional calibration tradeoff was made to maintain diabetes label prevalence at 14.3% (CDC benchmark: 11%). The NHANES fasting glucose subsample skews older and sicker than the general adult population, inflating the reference mean. The Hotelling T² normalized statistic of 0.020 — well below the 1.0 threshold — confirms that this single-feature deviation does not meaningfully compromise overall multivariate fidelity.</w:t></w:r></w:p><w:p><w:pPr><w:spacing w:after="200" w:before="0"/></w:pPr><w:r><w:rPr><w:sz w:val="22"/><w:szCs w:val="22"/></w:rPr><w:t xml:space="preserve"/></w:r></w:p><w:p><w:pPr><w:pStyle w:val="Heading2"/><w:spacing w:after="150" w:before="300"/><w:rPr><w:b/><w:bCs/><w:color w:val="2E6DA4"/><w:sz w:val="24"/><w:szCs w:val="24"/></w:rPr></w:pPr><w:r><w:t xml:space="preserve">4.2 Condition Label Prevalence Calibration</w:t></w:r></w:p><w:tbl><w:tblPr><w:tblW w:type="dxa" w:w="7600"/><w:tblBorders><w:top w:val="single" w:color="auto" w:sz="4"/><w:left w:val="single" w:color="auto" w:sz="4"/><w:bottom w:val="single" w:color="auto" w:sz="4"/><w:right w:val="single" w:color="auto" w:sz="4"/><w:insideH w:val="single" w:color="auto" w:sz="4"/><w:insideV w:val="single" w:color="auto" w:sz="4"/></w:tblBorders></w:tblPr><w:tblGrid><w:gridCol w:w="2400"/><w:gridCol w:w="1200"/><w:gridCol w:w="1200"/><w:gridCol w:w="1600"/><w:gridCol w:w="1200"/></w:tblGrid><w:tr><w:trPr><w:tblHeader/></w:trPr><w:tc><w:tcPr><w:tcW w:type="dxa" w:w="2400"/><w:shd w:fill="1E3A5F" w:color="auto" w:val="clear"/></w:tcPr><w:p><w:pPr><w:spacing w:after="60" w:before="60"/><w:jc w:val="center"/></w:pPr><w:r><w:rPr><w:b/><w:bCs/><w:color w:val="FFFFFF"/><w:sz w:val="20"/><w:szCs w:val="20"/></w:rPr><w:t xml:space="preserve">Condition Label</w:t></w:r></w:p></w:tc><w:tc><w:tcPr><w:tcW w:type="dxa" w:w="1200"/><w:shd w:fill="1E3A5F" w:color="auto" w:val="clear"/></w:tcPr><w:p><w:pPr><w:spacing w:after="60" w:before="60"/><w:jc w:val="center"/></w:pPr><w:r><w:rPr><w:b/><w:bCs/><w:color w:val="FFFFFF"/><w:sz w:val="20"/><w:szCs w:val="20"/></w:rPr><w:t xml:space="preserve">Synthetic</w:t></w:r></w:p></w:tc><w:tc><w:tcPr><w:tcW w:type="dxa" w:w="1200"/><w:shd w:fill="1E3A5F" w:color="auto" w:val="clear"/></w:tcPr><w:p><w:pPr><w:spacing w:after="60" w:before="60"/><w:jc w:val="center"/></w:pPr><w:r><w:rPr><w:b/><w:bCs/><w:color w:val="FFFFFF"/><w:sz w:val="20"/><w:szCs w:val="20"/></w:rPr><w:t xml:space="preserve">Benchmark</w:t></w:r></w:p></w:tc><w:tc><w:tcPr><w:tcW w:type="dxa" w:w="1600"/><w:shd w:fill="1E3A5F" w:color="auto" w:val="clear"/></w:tcPr><w:p><w:pPr><w:spacing w:after="60" w:before="60"/><w:jc w:val="center"/></w:pPr><w:r><w:rPr><w:b/><w:bCs/><w:color w:val="FFFFFF"/><w:sz w:val="20"/><w:szCs w:val="20"/></w:rPr><w:t xml:space="preserve">Source</w:t></w:r></w:p></w:tc><w:tc><w:tcPr><w:tcW w:type="dxa" w:w="1200"/><w:shd w:fill="1E3A5F" w:color="auto" w:val="clear"/></w:tcPr><w:p><w:pPr><w:spacing w:after="60" w:before="60"/><w:jc w:val="center"/></w:pPr><w:r><w:rPr><w:b/><w:bCs/><w:color w:val="FFFFFF"/><w:sz w:val="20"/><w:szCs w:val="20"/></w:rPr><w:t xml:space="preserve">Delta</w:t></w:r></w:p></w:tc></w:tr><w:tr><w:tc><w:tcPr><w:tcW w:type="dxa" w:w="2400"/><w:shd w:fill="FFFFFF" w:color="auto" w:val="clear"/></w:tcPr><w:p><w:pPr><w:spacing w:after="60" w:before="60"/><w:jc w:val="left"/></w:pPr><w:r><w:rPr><w:sz w:val="20"/><w:szCs w:val="20"/></w:rPr><w:t xml:space="preserve">Hypertension</w:t></w:r></w:p></w:tc><w:tc><w:tcPr><w:tcW w:type="dxa" w:w="1200"/><w:shd w:fill="FFFFFF" w:color="auto" w:val="clear"/></w:tcPr><w:p><w:pPr><w:spacing w:after="60" w:before="60"/><w:jc w:val="center"/></w:pPr><w:r><w:rPr><w:sz w:val="20"/><w:szCs w:val="20"/></w:rPr><w:t xml:space="preserve">48.0%</w:t></w:r></w:p></w:tc><w:tc><w:tcPr><w:tcW w:type="dxa" w:w="1200"/><w:shd w:fill="FFFFFF" w:color="auto" w:val="clear"/></w:tcPr><w:p><w:pPr><w:spacing w:after="60" w:before="60"/><w:jc w:val="center"/></w:pPr><w:r><w:rPr><w:sz w:val="20"/><w:szCs w:val="20"/></w:rPr><w:t xml:space="preserve">47.0%</w:t></w:r></w:p></w:tc><w:tc><w:tcPr><w:tcW w:type="dxa" w:w="1600"/><w:shd w:fill="FFFFFF" w:color="auto" w:val="clear"/></w:tcPr><w:p><w:pPr><w:spacing w:after="60" w:before="60"/><w:jc w:val="center"/></w:pPr><w:r><w:rPr><w:sz w:val="20"/><w:szCs w:val="20"/></w:rPr><w:t xml:space="preserve">AHA 2023</w:t></w:r></w:p></w:tc><w:tc><w:tcPr><w:tcW w:type="dxa" w:w="1200"/><w:shd w:fill="FFFFFF" w:color="auto" w:val="clear"/></w:tcPr><w:p><w:pPr><w:spacing w:after="60" w:before="60"/><w:jc w:val="center"/></w:pPr><w:r><w:rPr><w:sz w:val="20"/><w:szCs w:val="20"/></w:rPr><w:t xml:space="preserve">+1.0%</w:t></w:r></w:p></w:tc></w:tr><w:tr><w:tc><w:tcPr><w:tcW w:type="dxa" w:w="2400"/><w:shd w:fill="F2F2F2" w:color="auto" w:val="clear"/></w:tcPr><w:p><w:pPr><w:spacing w:after="60" w:before="60"/><w:jc w:val="left"/></w:pPr><w:r><w:rPr><w:sz w:val="20"/><w:szCs w:val="20"/></w:rPr><w:t xml:space="preserve">Type 2 Diabetes</w:t></w:r></w:p></w:tc><w:tc><w:tcPr><w:tcW w:type="dxa" w:w="1200"/><w:shd w:fill="F2F2F2" w:color="auto" w:val="clear"/></w:tcPr><w:p><w:pPr><w:spacing w:after="60" w:before="60"/><w:jc w:val="center"/></w:pPr><w:r><w:rPr><w:sz w:val="20"/><w:szCs w:val="20"/></w:rPr><w:t xml:space="preserve">14.3%</w:t></w:r></w:p></w:tc><w:tc><w:tcPr><w:tcW w:type="dxa" w:w="1200"/><w:shd w:fill="F2F2F2" w:color="auto" w:val="clear"/></w:tcPr><w:p><w:pPr><w:spacing w:after="60" w:before="60"/><w:jc w:val="center"/></w:pPr><w:r><w:rPr><w:sz w:val="20"/><w:szCs w:val="20"/></w:rPr><w:t xml:space="preserve">11.0%</w:t></w:r></w:p></w:tc><w:tc><w:tcPr><w:tcW w:type="dxa" w:w="1600"/><w:shd w:fill="F2F2F2" w:color="auto" w:val="clear"/></w:tcPr><w:p><w:pPr><w:spacing w:after="60" w:before="60"/><w:jc w:val="center"/></w:pPr><w:r><w:rPr><w:sz w:val="20"/><w:szCs w:val="20"/></w:rPr><w:t xml:space="preserve">CDC 2023</w:t></w:r></w:p></w:tc><w:tc><w:tcPr><w:tcW w:type="dxa" w:w="1200"/><w:shd w:fill="F2F2F2" w:color="auto" w:val="clear"/></w:tcPr><w:p><w:pPr><w:spacing w:after="60" w:before="60"/><w:jc w:val="center"/></w:pPr><w:r><w:rPr><w:sz w:val="20"/><w:szCs w:val="20"/></w:rPr><w:t xml:space="preserve">+3.3%</w:t></w:r></w:p></w:tc></w:tr><w:tr><w:tc><w:tcPr><w:tcW w:type="dxa" w:w="2400"/><w:shd w:fill="FFFFFF" w:color="auto" w:val="clear"/></w:tcPr><w:p><w:pPr><w:spacing w:after="60" w:before="60"/><w:jc w:val="left"/></w:pPr><w:r><w:rPr><w:sz w:val="20"/><w:szCs w:val="20"/></w:rPr><w:t xml:space="preserve">Obesity (any class)</w:t></w:r></w:p></w:tc><w:tc><w:tcPr><w:tcW w:type="dxa" w:w="1200"/><w:shd w:fill="FFFFFF" w:color="auto" w:val="clear"/></w:tcPr><w:p><w:pPr><w:spacing w:after="60" w:before="60"/><w:jc w:val="center"/></w:pPr><w:r><w:rPr><w:sz w:val="20"/><w:szCs w:val="20"/></w:rPr><w:t xml:space="preserve">43.8%</w:t></w:r></w:p></w:tc><w:tc><w:tcPr><w:tcW w:type="dxa" w:w="1200"/><w:shd w:fill="FFFFFF" w:color="auto" w:val="clear"/></w:tcPr><w:p><w:pPr><w:spacing w:after="60" w:before="60"/><w:jc w:val="center"/></w:pPr><w:r><w:rPr><w:sz w:val="20"/><w:szCs w:val="20"/></w:rPr><w:t xml:space="preserve">42.0%</w:t></w:r></w:p></w:tc><w:tc><w:tcPr><w:tcW w:type="dxa" w:w="1600"/><w:shd w:fill="FFFFFF" w:color="auto" w:val="clear"/></w:tcPr><w:p><w:pPr><w:spacing w:after="60" w:before="60"/><w:jc w:val="center"/></w:pPr><w:r><w:rPr><w:sz w:val="20"/><w:szCs w:val="20"/></w:rPr><w:t xml:space="preserve">CDC NHANES</w:t></w:r></w:p></w:tc><w:tc><w:tcPr><w:tcW w:type="dxa" w:w="1200"/><w:shd w:fill="FFFFFF" w:color="auto" w:val="clear"/></w:tcPr><w:p><w:pPr><w:spacing w:after="60" w:before="60"/><w:jc w:val="center"/></w:pPr><w:r><w:rPr><w:sz w:val="20"/><w:szCs w:val="20"/></w:rPr><w:t xml:space="preserve">+1.8%</w:t></w:r></w:p></w:tc></w:tr><w:tr><w:tc><w:tcPr><w:tcW w:type="dxa" w:w="2400"/><w:shd w:fill="F2F2F2" w:color="auto" w:val="clear"/></w:tcPr><w:p><w:pPr><w:spacing w:after="60" w:before="60"/><w:jc w:val="left"/></w:pPr><w:r><w:rPr><w:sz w:val="20"/><w:szCs w:val="20"/></w:rPr><w:t xml:space="preserve">CVD Risk</w:t></w:r></w:p></w:tc><w:tc><w:tcPr><w:tcW w:type="dxa" w:w="1200"/><w:shd w:fill="F2F2F2" w:color="auto" w:val="clear"/></w:tcPr><w:p><w:pPr><w:spacing w:after="60" w:before="60"/><w:jc w:val="center"/></w:pPr><w:r><w:rPr><w:sz w:val="20"/><w:szCs w:val="20"/></w:rPr><w:t xml:space="preserve">14.7%</w:t></w:r></w:p></w:tc><w:tc><w:tcPr><w:tcW w:type="dxa" w:w="1200"/><w:shd w:fill="F2F2F2" w:color="auto" w:val="clear"/></w:tcPr><w:p><w:pPr><w:spacing w:after="60" w:before="60"/><w:jc w:val="center"/></w:pPr><w:r><w:rPr><w:sz w:val="20"/><w:szCs w:val="20"/></w:rPr><w:t xml:space="preserve">12.0%</w:t></w:r></w:p></w:tc><w:tc><w:tcPr><w:tcW w:type="dxa" w:w="1600"/><w:shd w:fill="F2F2F2" w:color="auto" w:val="clear"/></w:tcPr><w:p><w:pPr><w:spacing w:after="60" w:before="60"/><w:jc w:val="center"/></w:pPr><w:r><w:rPr><w:sz w:val="20"/><w:szCs w:val="20"/></w:rPr><w:t xml:space="preserve">AHA 2023</w:t></w:r></w:p></w:tc><w:tc><w:tcPr><w:tcW w:type="dxa" w:w="1200"/><w:shd w:fill="F2F2F2" w:color="auto" w:val="clear"/></w:tcPr><w:p><w:pPr><w:spacing w:after="60" w:before="60"/><w:jc w:val="center"/></w:pPr><w:r><w:rPr><w:sz w:val="20"/><w:szCs w:val="20"/></w:rPr><w:t xml:space="preserve">+2.7%</w:t></w:r></w:p></w:tc></w:tr><w:tr><w:tc><w:tcPr><w:tcW w:type="dxa" w:w="2400"/><w:shd w:fill="FFFFFF" w:color="auto" w:val="clear"/></w:tcPr><w:p><w:pPr><w:spacing w:after="60" w:before="60"/><w:jc w:val="left"/></w:pPr><w:r><w:rPr><w:sz w:val="20"/><w:szCs w:val="20"/></w:rPr><w:t xml:space="preserve">Chronic Kidney Disease</w:t></w:r></w:p></w:tc><w:tc><w:tcPr><w:tcW w:type="dxa" w:w="1200"/><w:shd w:fill="FFFFFF" w:color="auto" w:val="clear"/></w:tcPr><w:p><w:pPr><w:spacing w:after="60" w:before="60"/><w:jc w:val="center"/></w:pPr><w:r><w:rPr><w:sz w:val="20"/><w:szCs w:val="20"/></w:rPr><w:t xml:space="preserve">12.4%</w:t></w:r></w:p></w:tc><w:tc><w:tcPr><w:tcW w:type="dxa" w:w="1200"/><w:shd w:fill="FFFFFF" w:color="auto" w:val="clear"/></w:tcPr><w:p><w:pPr><w:spacing w:after="60" w:before="60"/><w:jc w:val="center"/></w:pPr><w:r><w:rPr><w:sz w:val="20"/><w:szCs w:val="20"/></w:rPr><w:t xml:space="preserve">15.0%</w:t></w:r></w:p></w:tc><w:tc><w:tcPr><w:tcW w:type="dxa" w:w="1600"/><w:shd w:fill="FFFFFF" w:color="auto" w:val="clear"/></w:tcPr><w:p><w:pPr><w:spacing w:after="60" w:before="60"/><w:jc w:val="center"/></w:pPr><w:r><w:rPr><w:sz w:val="20"/><w:szCs w:val="20"/></w:rPr><w:t xml:space="preserve">KDIGO/USRDS</w:t></w:r></w:p></w:tc><w:tc><w:tcPr><w:tcW w:type="dxa" w:w="1200"/><w:shd w:fill="FFFFFF" w:color="auto" w:val="clear"/></w:tcPr><w:p><w:pPr><w:spacing w:after="60" w:before="60"/><w:jc w:val="center"/></w:pPr><w:r><w:rPr><w:sz w:val="20"/><w:szCs w:val="20"/></w:rPr><w:t xml:space="preserve">-2.6%</w:t></w:r></w:p></w:tc></w:tr><w:tr><w:tc><w:tcPr><w:tcW w:type="dxa" w:w="2400"/><w:shd w:fill="F2F2F2" w:color="auto" w:val="clear"/></w:tcPr><w:p><w:pPr><w:spacing w:after="60" w:before="60"/><w:jc w:val="left"/></w:pPr><w:r><w:rPr><w:sz w:val="20"/><w:szCs w:val="20"/></w:rPr><w:t xml:space="preserve">Sleep Apnea (OSA)</w:t></w:r></w:p></w:tc><w:tc><w:tcPr><w:tcW w:type="dxa" w:w="1200"/><w:shd w:fill="F2F2F2" w:color="auto" w:val="clear"/></w:tcPr><w:p><w:pPr><w:spacing w:after="60" w:before="60"/><w:jc w:val="center"/></w:pPr><w:r><w:rPr><w:sz w:val="20"/><w:szCs w:val="20"/></w:rPr><w:t xml:space="preserve">23.5%</w:t></w:r></w:p></w:tc><w:tc><w:tcPr><w:tcW w:type="dxa" w:w="1200"/><w:shd w:fill="F2F2F2" w:color="auto" w:val="clear"/></w:tcPr><w:p><w:pPr><w:spacing w:after="60" w:before="60"/><w:jc w:val="center"/></w:pPr><w:r><w:rPr><w:sz w:val="20"/><w:szCs w:val="20"/></w:rPr><w:t xml:space="preserve">26.0%</w:t></w:r></w:p></w:tc><w:tc><w:tcPr><w:tcW w:type="dxa" w:w="1600"/><w:shd w:fill="F2F2F2" w:color="auto" w:val="clear"/></w:tcPr><w:p><w:pPr><w:spacing w:after="60" w:before="60"/><w:jc w:val="center"/></w:pPr><w:r><w:rPr><w:sz w:val="20"/><w:szCs w:val="20"/></w:rPr><w:t xml:space="preserve">NHANES</w:t></w:r></w:p></w:tc><w:tc><w:tcPr><w:tcW w:type="dxa" w:w="1200"/><w:shd w:fill="F2F2F2" w:color="auto" w:val="clear"/></w:tcPr><w:p><w:pPr><w:spacing w:after="60" w:before="60"/><w:jc w:val="center"/></w:pPr><w:r><w:rPr><w:sz w:val="20"/><w:szCs w:val="20"/></w:rPr><w:t xml:space="preserve">-2.5%</w:t></w:r></w:p></w:tc></w:tr><w:tr><w:tc><w:tcPr><w:tcW w:type="dxa" w:w="2400"/><w:shd w:fill="FFFFFF" w:color="auto" w:val="clear"/></w:tcPr><w:p><w:pPr><w:spacing w:after="60" w:before="60"/><w:jc w:val="left"/></w:pPr><w:r><w:rPr><w:sz w:val="20"/><w:szCs w:val="20"/></w:rPr><w:t xml:space="preserve">Depression/Anxiety</w:t></w:r></w:p></w:tc><w:tc><w:tcPr><w:tcW w:type="dxa" w:w="1200"/><w:shd w:fill="FFFFFF" w:color="auto" w:val="clear"/></w:tcPr><w:p><w:pPr><w:spacing w:after="60" w:before="60"/><w:jc w:val="center"/></w:pPr><w:r><w:rPr><w:sz w:val="20"/><w:szCs w:val="20"/></w:rPr><w:t xml:space="preserve">10.7%</w:t></w:r></w:p></w:tc><w:tc><w:tcPr><w:tcW w:type="dxa" w:w="1200"/><w:shd w:fill="FFFFFF" w:color="auto" w:val="clear"/></w:tcPr><w:p><w:pPr><w:spacing w:after="60" w:before="60"/><w:jc w:val="center"/></w:pPr><w:r><w:rPr><w:sz w:val="20"/><w:szCs w:val="20"/></w:rPr><w:t xml:space="preserve">8.0%</w:t></w:r></w:p></w:tc><w:tc><w:tcPr><w:tcW w:type="dxa" w:w="1600"/><w:shd w:fill="FFFFFF" w:color="auto" w:val="clear"/></w:tcPr><w:p><w:pPr><w:spacing w:after="60" w:before="60"/><w:jc w:val="center"/></w:pPr><w:r><w:rPr><w:sz w:val="20"/><w:szCs w:val="20"/></w:rPr><w:t xml:space="preserve">NIMH</w:t></w:r></w:p></w:tc><w:tc><w:tcPr><w:tcW w:type="dxa" w:w="1200"/><w:shd w:fill="FFFFFF" w:color="auto" w:val="clear"/></w:tcPr><w:p><w:pPr><w:spacing w:after="60" w:before="60"/><w:jc w:val="center"/></w:pPr><w:r><w:rPr><w:sz w:val="20"/><w:szCs w:val="20"/></w:rPr><w:t xml:space="preserve">+2.7%</w:t></w:r></w:p></w:tc></w:tr><w:tr><w:tc><w:tcPr><w:tcW w:type="dxa" w:w="2400"/><w:shd w:fill="F2F2F2" w:color="auto" w:val="clear"/></w:tcPr><w:p><w:pPr><w:spacing w:after="60" w:before="60"/><w:jc w:val="left"/></w:pPr><w:r><w:rPr><w:sz w:val="20"/><w:szCs w:val="20"/></w:rPr><w:t xml:space="preserve">COPD/Asthma</w:t></w:r></w:p></w:tc><w:tc><w:tcPr><w:tcW w:type="dxa" w:w="1200"/><w:shd w:fill="F2F2F2" w:color="auto" w:val="clear"/></w:tcPr><w:p><w:pPr><w:spacing w:after="60" w:before="60"/><w:jc w:val="center"/></w:pPr><w:r><w:rPr><w:sz w:val="20"/><w:szCs w:val="20"/></w:rPr><w:t xml:space="preserve">7.8%</w:t></w:r></w:p></w:tc><w:tc><w:tcPr><w:tcW w:type="dxa" w:w="1200"/><w:shd w:fill="F2F2F2" w:color="auto" w:val="clear"/></w:tcPr><w:p><w:pPr><w:spacing w:after="60" w:before="60"/><w:jc w:val="center"/></w:pPr><w:r><w:rPr><w:sz w:val="20"/><w:szCs w:val="20"/></w:rPr><w:t xml:space="preserve">6.0%</w:t></w:r></w:p></w:tc><w:tc><w:tcPr><w:tcW w:type="dxa" w:w="1600"/><w:shd w:fill="F2F2F2" w:color="auto" w:val="clear"/></w:tcPr><w:p><w:pPr><w:spacing w:after="60" w:before="60"/><w:jc w:val="center"/></w:pPr><w:r><w:rPr><w:sz w:val="20"/><w:szCs w:val="20"/></w:rPr><w:t xml:space="preserve">ALA</w:t></w:r></w:p></w:tc><w:tc><w:tcPr><w:tcW w:type="dxa" w:w="1200"/><w:shd w:fill="F2F2F2" w:color="auto" w:val="clear"/></w:tcPr><w:p><w:pPr><w:spacing w:after="60" w:before="60"/><w:jc w:val="center"/></w:pPr><w:r><w:rPr><w:sz w:val="20"/><w:szCs w:val="20"/></w:rPr><w:t xml:space="preserve">+1.8%</w:t></w:r></w:p></w:tc></w:tr><w:tr><w:tc><w:tcPr><w:tcW w:type="dxa" w:w="2400"/><w:shd w:fill="FFFFFF" w:color="auto" w:val="clear"/></w:tcPr><w:p><w:pPr><w:spacing w:after="60" w:before="60"/><w:jc w:val="left"/></w:pPr><w:r><w:rPr><w:sz w:val="20"/><w:szCs w:val="20"/></w:rPr><w:t xml:space="preserve">Metabolic Syndrome</w:t></w:r></w:p></w:tc><w:tc><w:tcPr><w:tcW w:type="dxa" w:w="1200"/><w:shd w:fill="FFFFFF" w:color="auto" w:val="clear"/></w:tcPr><w:p><w:pPr><w:spacing w:after="60" w:before="60"/><w:jc w:val="center"/></w:pPr><w:r><w:rPr><w:sz w:val="20"/><w:szCs w:val="20"/></w:rPr><w:t xml:space="preserve">36.0%</w:t></w:r></w:p></w:tc><w:tc><w:tcPr><w:tcW w:type="dxa" w:w="1200"/><w:shd w:fill="FFFFFF" w:color="auto" w:val="clear"/></w:tcPr><w:p><w:pPr><w:spacing w:after="60" w:before="60"/><w:jc w:val="center"/></w:pPr><w:r><w:rPr><w:sz w:val="20"/><w:szCs w:val="20"/></w:rPr><w:t xml:space="preserve">33.0%</w:t></w:r></w:p></w:tc><w:tc><w:tcPr><w:tcW w:type="dxa" w:w="1600"/><w:shd w:fill="FFFFFF" w:color="auto" w:val="clear"/></w:tcPr><w:p><w:pPr><w:spacing w:after="60" w:before="60"/><w:jc w:val="center"/></w:pPr><w:r><w:rPr><w:sz w:val="20"/><w:szCs w:val="20"/></w:rPr><w:t xml:space="preserve">ATP III</w:t></w:r></w:p></w:tc><w:tc><w:tcPr><w:tcW w:type="dxa" w:w="1200"/><w:shd w:fill="FFFFFF" w:color="auto" w:val="clear"/></w:tcPr><w:p><w:pPr><w:spacing w:after="60" w:before="60"/><w:jc w:val="center"/></w:pPr><w:r><w:rPr><w:sz w:val="20"/><w:szCs w:val="20"/></w:rPr><w:t xml:space="preserve">+3.0%</w:t></w:r></w:p></w:tc></w:tr><w:tr><w:tc><w:tcPr><w:tcW w:type="dxa" w:w="2400"/><w:shd w:fill="F2F2F2" w:color="auto" w:val="clear"/></w:tcPr><w:p><w:pPr><w:spacing w:after="60" w:before="60"/><w:jc w:val="left"/></w:pPr><w:r><w:rPr><w:sz w:val="20"/><w:szCs w:val="20"/></w:rPr><w:t xml:space="preserve">Hypothyroidism</w:t></w:r></w:p></w:tc><w:tc><w:tcPr><w:tcW w:type="dxa" w:w="1200"/><w:shd w:fill="F2F2F2" w:color="auto" w:val="clear"/></w:tcPr><w:p><w:pPr><w:spacing w:after="60" w:before="60"/><w:jc w:val="center"/></w:pPr><w:r><w:rPr><w:sz w:val="20"/><w:szCs w:val="20"/></w:rPr><w:t xml:space="preserve">7.3%</w:t></w:r></w:p></w:tc><w:tc><w:tcPr><w:tcW w:type="dxa" w:w="1200"/><w:shd w:fill="F2F2F2" w:color="auto" w:val="clear"/></w:tcPr><w:p><w:pPr><w:spacing w:after="60" w:before="60"/><w:jc w:val="center"/></w:pPr><w:r><w:rPr><w:sz w:val="20"/><w:szCs w:val="20"/></w:rPr><w:t xml:space="preserve">5.0%</w:t></w:r></w:p></w:tc><w:tc><w:tcPr><w:tcW w:type="dxa" w:w="1600"/><w:shd w:fill="F2F2F2" w:color="auto" w:val="clear"/></w:tcPr><w:p><w:pPr><w:spacing w:after="60" w:before="60"/><w:jc w:val="center"/></w:pPr><w:r><w:rPr><w:sz w:val="20"/><w:szCs w:val="20"/></w:rPr><w:t xml:space="preserve">NHANES</w:t></w:r></w:p></w:tc><w:tc><w:tcPr><w:tcW w:type="dxa" w:w="1200"/><w:shd w:fill="F2F2F2" w:color="auto" w:val="clear"/></w:tcPr><w:p><w:pPr><w:spacing w:after="60" w:before="60"/><w:jc w:val="center"/></w:pPr><w:r><w:rPr><w:sz w:val="20"/><w:szCs w:val="20"/></w:rPr><w:t xml:space="preserve">+2.3%</w:t></w:r></w:p></w:tc></w:tr><w:tr><w:tc><w:tcPr><w:tcW w:type="dxa" w:w="2400"/><w:shd w:fill="FFFFFF" w:color="auto" w:val="clear"/></w:tcPr><w:p><w:pPr><w:spacing w:after="60" w:before="60"/><w:jc w:val="left"/></w:pPr><w:r><w:rPr><w:sz w:val="20"/><w:szCs w:val="20"/></w:rPr><w:t xml:space="preserve">Prediabetes</w:t></w:r></w:p></w:tc><w:tc><w:tcPr><w:tcW w:type="dxa" w:w="1200"/><w:shd w:fill="FFFFFF" w:color="auto" w:val="clear"/></w:tcPr><w:p><w:pPr><w:spacing w:after="60" w:before="60"/><w:jc w:val="center"/></w:pPr><w:r><w:rPr><w:sz w:val="20"/><w:szCs w:val="20"/></w:rPr><w:t xml:space="preserve">34.0%</w:t></w:r></w:p></w:tc><w:tc><w:tcPr><w:tcW w:type="dxa" w:w="1200"/><w:shd w:fill="FFFFFF" w:color="auto" w:val="clear"/></w:tcPr><w:p><w:pPr><w:spacing w:after="60" w:before="60"/><w:jc w:val="center"/></w:pPr><w:r><w:rPr><w:sz w:val="20"/><w:szCs w:val="20"/></w:rPr><w:t xml:space="preserve">38.0%</w:t></w:r></w:p></w:tc><w:tc><w:tcPr><w:tcW w:type="dxa" w:w="1600"/><w:shd w:fill="FFFFFF" w:color="auto" w:val="clear"/></w:tcPr><w:p><w:pPr><w:spacing w:after="60" w:before="60"/><w:jc w:val="center"/></w:pPr><w:r><w:rPr><w:sz w:val="20"/><w:szCs w:val="20"/></w:rPr><w:t xml:space="preserve">CDC 2023</w:t></w:r></w:p></w:tc><w:tc><w:tcPr><w:tcW w:type="dxa" w:w="1200"/><w:shd w:fill="FFFFFF" w:color="auto" w:val="clear"/></w:tcPr><w:p><w:pPr><w:spacing w:after="60" w:before="60"/><w:jc w:val="center"/></w:pPr><w:r><w:rPr><w:sz w:val="20"/><w:szCs w:val="20"/></w:rPr><w:t xml:space="preserve">-4.0%</w:t></w:r></w:p></w:tc></w:tr><w:tr><w:tc><w:tcPr><w:tcW w:type="dxa" w:w="2400"/><w:shd w:fill="F2F2F2" w:color="auto" w:val="clear"/></w:tcPr><w:p><w:pPr><w:spacing w:after="60" w:before="60"/><w:jc w:val="left"/></w:pPr><w:r><w:rPr><w:sz w:val="20"/><w:szCs w:val="20"/></w:rPr><w:t xml:space="preserve">Colorectal Cancer Risk</w:t></w:r></w:p></w:tc><w:tc><w:tcPr><w:tcW w:type="dxa" w:w="1200"/><w:shd w:fill="F2F2F2" w:color="auto" w:val="clear"/></w:tcPr><w:p><w:pPr><w:spacing w:after="60" w:before="60"/><w:jc w:val="center"/></w:pPr><w:r><w:rPr><w:sz w:val="20"/><w:szCs w:val="20"/></w:rPr><w:t xml:space="preserve">3.7%</w:t></w:r></w:p></w:tc><w:tc><w:tcPr><w:tcW w:type="dxa" w:w="1200"/><w:shd w:fill="F2F2F2" w:color="auto" w:val="clear"/></w:tcPr><w:p><w:pPr><w:spacing w:after="60" w:before="60"/><w:jc w:val="center"/></w:pPr><w:r><w:rPr><w:sz w:val="20"/><w:szCs w:val="20"/></w:rPr><w:t xml:space="preserve">4.5%</w:t></w:r></w:p></w:tc><w:tc><w:tcPr><w:tcW w:type="dxa" w:w="1600"/><w:shd w:fill="F2F2F2" w:color="auto" w:val="clear"/></w:tcPr><w:p><w:pPr><w:spacing w:after="60" w:before="60"/><w:jc w:val="center"/></w:pPr><w:r><w:rPr><w:sz w:val="20"/><w:szCs w:val="20"/></w:rPr><w:t xml:space="preserve">SEER 2023</w:t></w:r></w:p></w:tc><w:tc><w:tcPr><w:tcW w:type="dxa" w:w="1200"/><w:shd w:fill="F2F2F2" w:color="auto" w:val="clear"/></w:tcPr><w:p><w:pPr><w:spacing w:after="60" w:before="60"/><w:jc w:val="center"/></w:pPr><w:r><w:rPr><w:sz w:val="20"/><w:szCs w:val="20"/></w:rPr><w:t xml:space="preserve">-0.8%</w:t></w:r></w:p></w:tc></w:tr></w:tbl><w:p><w:pPr><w:spacing w:after="200" w:before="0"/></w:pPr><w:r><w:rPr><w:sz w:val="22"/><w:szCs w:val="22"/></w:rPr><w:t xml:space="preserve"/></w:r></w:p><w:p><w:pPr><w:spacing w:after="120" w:before="80" w:line="276" w:lineRule="auto"/><w:ind/><w:jc w:val="both"/></w:pPr><w:r><w:rPr><w:b w:val="false"/><w:bCs w:val="false"/><w:i w:val="false"/><w:iCs w:val="false"/><w:color w:val="000000"/><w:sz w:val="22"/><w:szCs w:val="22"/></w:rPr><w:t xml:space="preserve">All 12 condition labels fall within the ±5 percentage point threshold specified in the project proposal. The diabetes label (14.3% vs. 11.0% benchmark) reflects the elevated HbA1c and fasting glucose distributions in the NHANES reference sample, which overrepresents older adults with chronic conditions compared to the full US adult population.</w:t></w:r></w:p><w:p><w:pPr><w:spacing w:after="200" w:before="0"/></w:pPr><w:r><w:rPr><w:sz w:val="22"/><w:szCs w:val="22"/></w:rPr><w:t xml:space="preserve"/></w:r></w:p><w:p><w:pPr><w:pStyle w:val="Heading2"/><w:spacing w:after="150" w:before="300"/><w:rPr><w:b/><w:bCs/><w:color w:val="2E6DA4"/><w:sz w:val="24"/><w:szCs w:val="24"/></w:rPr></w:pPr><w:r><w:t xml:space="preserve">4.3 Model Performance</w:t></w:r></w:p><w:p><w:pPr><w:pStyle w:val="Heading3"/><w:spacing w:after="100" w:before="200"/><w:rPr><w:b/><w:bCs/><w:color w:val="1E3A5F"/><w:sz w:val="22"/><w:szCs w:val="22"/></w:rPr></w:pPr><w:r><w:t xml:space="preserve">4.3.1 Comparison vs. Baseline Models</w:t></w:r></w:p><w:tbl><w:tblPr><w:tblW w:type="dxa" w:w="8600"/><w:tblBorders><w:top w:val="single" w:color="auto" w:sz="4"/><w:left w:val="single" w:color="auto" w:sz="4"/><w:bottom w:val="single" w:color="auto" w:sz="4"/><w:right w:val="single" w:color="auto" w:sz="4"/><w:insideH w:val="single" w:color="auto" w:sz="4"/><w:insideV w:val="single" w:color="auto" w:sz="4"/></w:tblBorders></w:tblPr><w:tblGrid><w:gridCol w:w="2400"/><w:gridCol w:w="1600"/><w:gridCol w:w="1400"/><w:gridCol w:w="1800"/><w:gridCol w:w="1400"/></w:tblGrid><w:tr><w:trPr><w:tblHeader/></w:trPr><w:tc><w:tcPr><w:tcW w:type="dxa" w:w="2400"/><w:shd w:fill="1E3A5F" w:color="auto" w:val="clear"/></w:tcPr><w:p><w:pPr><w:spacing w:after="60" w:before="60"/><w:jc w:val="center"/></w:pPr><w:r><w:rPr><w:b/><w:bCs/><w:color w:val="FFFFFF"/><w:sz w:val="20"/><w:szCs w:val="20"/></w:rPr><w:t xml:space="preserve">Condition Label</w:t></w:r></w:p></w:tc><w:tc><w:tcPr><w:tcW w:type="dxa" w:w="1600"/><w:shd w:fill="1E3A5F" w:color="auto" w:val="clear"/></w:tcPr><w:p><w:pPr><w:spacing w:after="60" w:before="60"/><w:jc w:val="center"/></w:pPr><w:r><w:rPr><w:b/><w:bCs/><w:color w:val="FFFFFF"/><w:sz w:val="20"/><w:szCs w:val="20"/></w:rPr><w:t xml:space="preserve">Logistic Regression</w:t></w:r></w:p></w:tc><w:tc><w:tcPr><w:tcW w:type="dxa" w:w="1400"/><w:shd w:fill="1E3A5F" w:color="auto" w:val="clear"/></w:tcPr><w:p><w:pPr><w:spacing w:after="60" w:before="60"/><w:jc w:val="center"/></w:pPr><w:r><w:rPr><w:b/><w:bCs/><w:color w:val="FFFFFF"/><w:sz w:val="20"/><w:szCs w:val="20"/></w:rPr><w:t xml:space="preserve">XGBoost</w:t></w:r></w:p></w:tc><w:tc><w:tcPr><w:tcW w:type="dxa" w:w="1800"/><w:shd w:fill="1E3A5F" w:color="auto" w:val="clear"/></w:tcPr><w:p><w:pPr><w:spacing w:after="60" w:before="60"/><w:jc w:val="center"/></w:pPr><w:r><w:rPr><w:b/><w:bCs/><w:color w:val="FFFFFF"/><w:sz w:val="20"/><w:szCs w:val="20"/></w:rPr><w:t xml:space="preserve">Bio_ClinicalBERT</w:t></w:r></w:p></w:tc><w:tc><w:tcPr><w:tcW w:type="dxa" w:w="1400"/><w:shd w:fill="1E3A5F" w:color="auto" w:val="clear"/></w:tcPr><w:p><w:pPr><w:spacing w:after="60" w:before="60"/><w:jc w:val="center"/></w:pPr><w:r><w:rPr><w:b/><w:bCs/><w:color w:val="FFFFFF"/><w:sz w:val="20"/><w:szCs w:val="20"/></w:rPr><w:t xml:space="preserve">SLM vs XGB</w:t></w:r></w:p></w:tc></w:tr><w:tr><w:tc><w:tcPr><w:tcW w:type="dxa" w:w="2400"/><w:shd w:fill="FFFFFF" w:color="auto" w:val="clear"/></w:tcPr><w:p><w:pPr><w:spacing w:after="60" w:before="60"/><w:jc w:val="left"/></w:pPr><w:r><w:rPr><w:sz w:val="20"/><w:szCs w:val="20"/></w:rPr><w:t xml:space="preserve">Hypertension</w:t></w:r></w:p></w:tc><w:tc><w:tcPr><w:tcW w:type="dxa" w:w="1600"/><w:shd w:fill="FFFFFF" w:color="auto" w:val="clear"/></w:tcPr><w:p><w:pPr><w:spacing w:after="60" w:before="60"/><w:jc w:val="center"/></w:pPr><w:r><w:rPr><w:sz w:val="20"/><w:szCs w:val="20"/></w:rPr><w:t xml:space="preserve">0.5945</w:t></w:r></w:p></w:tc><w:tc><w:tcPr><w:tcW w:type="dxa" w:w="1400"/><w:shd w:fill="FFFFFF" w:color="auto" w:val="clear"/></w:tcPr><w:p><w:pPr><w:spacing w:after="60" w:before="60"/><w:jc w:val="center"/></w:pPr><w:r><w:rPr><w:sz w:val="20"/><w:szCs w:val="20"/></w:rPr><w:t xml:space="preserve">1.000*</w:t></w:r></w:p></w:tc><w:tc><w:tcPr><w:tcW w:type="dxa" w:w="1800"/><w:shd w:fill="FFFFFF" w:color="auto" w:val="clear"/></w:tcPr><w:p><w:pPr><w:spacing w:after="60" w:before="60"/><w:jc w:val="center"/></w:pPr><w:r><w:rPr><w:sz w:val="20"/><w:szCs w:val="20"/></w:rPr><w:t xml:space="preserve">0.8815</w:t></w:r></w:p></w:tc><w:tc><w:tcPr><w:tcW w:type="dxa" w:w="1400"/><w:shd w:fill="FFFFFF" w:color="auto" w:val="clear"/></w:tcPr><w:p><w:pPr><w:spacing w:after="60" w:before="60"/><w:jc w:val="center"/></w:pPr><w:r><w:rPr><w:sz w:val="20"/><w:szCs w:val="20"/></w:rPr><w:t xml:space="preserve">-0.118*</w:t></w:r></w:p></w:tc></w:tr><w:tr><w:tc><w:tcPr><w:tcW w:type="dxa" w:w="2400"/><w:shd w:fill="F2F2F2" w:color="auto" w:val="clear"/></w:tcPr><w:p><w:pPr><w:spacing w:after="60" w:before="60"/><w:jc w:val="left"/></w:pPr><w:r><w:rPr><w:sz w:val="20"/><w:szCs w:val="20"/></w:rPr><w:t xml:space="preserve">Type 2 Diabetes</w:t></w:r></w:p></w:tc><w:tc><w:tcPr><w:tcW w:type="dxa" w:w="1600"/><w:shd w:fill="F2F2F2" w:color="auto" w:val="clear"/></w:tcPr><w:p><w:pPr><w:spacing w:after="60" w:before="60"/><w:jc w:val="center"/></w:pPr><w:r><w:rPr><w:sz w:val="20"/><w:szCs w:val="20"/></w:rPr><w:t xml:space="preserve">0.9927</w:t></w:r></w:p></w:tc><w:tc><w:tcPr><w:tcW w:type="dxa" w:w="1400"/><w:shd w:fill="F2F2F2" w:color="auto" w:val="clear"/></w:tcPr><w:p><w:pPr><w:spacing w:after="60" w:before="60"/><w:jc w:val="center"/></w:pPr><w:r><w:rPr><w:sz w:val="20"/><w:szCs w:val="20"/></w:rPr><w:t xml:space="preserve">0.9992</w:t></w:r></w:p></w:tc><w:tc><w:tcPr><w:tcW w:type="dxa" w:w="1800"/><w:shd w:fill="F2F2F2" w:color="auto" w:val="clear"/></w:tcPr><w:p><w:pPr><w:spacing w:after="60" w:before="60"/><w:jc w:val="center"/></w:pPr><w:r><w:rPr><w:sz w:val="20"/><w:szCs w:val="20"/></w:rPr><w:t xml:space="preserve">0.7301</w:t></w:r></w:p></w:tc><w:tc><w:tcPr><w:tcW w:type="dxa" w:w="1400"/><w:shd w:fill="F2F2F2" w:color="auto" w:val="clear"/></w:tcPr><w:p><w:pPr><w:spacing w:after="60" w:before="60"/><w:jc w:val="center"/></w:pPr><w:r><w:rPr><w:sz w:val="20"/><w:szCs w:val="20"/></w:rPr><w:t xml:space="preserve">-0.269</w:t></w:r></w:p></w:tc></w:tr><w:tr><w:tc><w:tcPr><w:tcW w:type="dxa" w:w="2400"/><w:shd w:fill="FFFFFF" w:color="auto" w:val="clear"/></w:tcPr><w:p><w:pPr><w:spacing w:after="60" w:before="60"/><w:jc w:val="left"/></w:pPr><w:r><w:rPr><w:sz w:val="20"/><w:szCs w:val="20"/></w:rPr><w:t xml:space="preserve">CVD Risk</w:t></w:r></w:p></w:tc><w:tc><w:tcPr><w:tcW w:type="dxa" w:w="1600"/><w:shd w:fill="FFFFFF" w:color="auto" w:val="clear"/></w:tcPr><w:p><w:pPr><w:spacing w:after="60" w:before="60"/><w:jc w:val="center"/></w:pPr><w:r><w:rPr><w:sz w:val="20"/><w:szCs w:val="20"/></w:rPr><w:t xml:space="preserve">0.7620</w:t></w:r></w:p></w:tc><w:tc><w:tcPr><w:tcW w:type="dxa" w:w="1400"/><w:shd w:fill="FFFFFF" w:color="auto" w:val="clear"/></w:tcPr><w:p><w:pPr><w:spacing w:after="60" w:before="60"/><w:jc w:val="center"/></w:pPr><w:r><w:rPr><w:sz w:val="20"/><w:szCs w:val="20"/></w:rPr><w:t xml:space="preserve">0.9791</w:t></w:r></w:p></w:tc><w:tc><w:tcPr><w:tcW w:type="dxa" w:w="1800"/><w:shd w:fill="FFFFFF" w:color="auto" w:val="clear"/></w:tcPr><w:p><w:pPr><w:spacing w:after="60" w:before="60"/><w:jc w:val="center"/></w:pPr><w:r><w:rPr><w:sz w:val="20"/><w:szCs w:val="20"/></w:rPr><w:t xml:space="preserve">0.6379</w:t></w:r></w:p></w:tc><w:tc><w:tcPr><w:tcW w:type="dxa" w:w="1400"/><w:shd w:fill="FFFFFF" w:color="auto" w:val="clear"/></w:tcPr><w:p><w:pPr><w:spacing w:after="60" w:before="60"/><w:jc w:val="center"/></w:pPr><w:r><w:rPr><w:sz w:val="20"/><w:szCs w:val="20"/></w:rPr><w:t xml:space="preserve">-0.341</w:t></w:r></w:p></w:tc></w:tr><w:tr><w:tc><w:tcPr><w:tcW w:type="dxa" w:w="2400"/><w:shd w:fill="F2F2F2" w:color="auto" w:val="clear"/></w:tcPr><w:p><w:pPr><w:spacing w:after="60" w:before="60"/><w:jc w:val="left"/></w:pPr><w:r><w:rPr><w:sz w:val="20"/><w:szCs w:val="20"/></w:rPr><w:t xml:space="preserve">Chronic Kidney Disease</w:t></w:r></w:p></w:tc><w:tc><w:tcPr><w:tcW w:type="dxa" w:w="1600"/><w:shd w:fill="F2F2F2" w:color="auto" w:val="clear"/></w:tcPr><w:p><w:pPr><w:spacing w:after="60" w:before="60"/><w:jc w:val="center"/></w:pPr><w:r><w:rPr><w:sz w:val="20"/><w:szCs w:val="20"/></w:rPr><w:t xml:space="preserve">0.8779</w:t></w:r></w:p></w:tc><w:tc><w:tcPr><w:tcW w:type="dxa" w:w="1400"/><w:shd w:fill="F2F2F2" w:color="auto" w:val="clear"/></w:tcPr><w:p><w:pPr><w:spacing w:after="60" w:before="60"/><w:jc w:val="center"/></w:pPr><w:r><w:rPr><w:sz w:val="20"/><w:szCs w:val="20"/></w:rPr><w:t xml:space="preserve">1.000*</w:t></w:r></w:p></w:tc><w:tc><w:tcPr><w:tcW w:type="dxa" w:w="1800"/><w:shd w:fill="F2F2F2" w:color="auto" w:val="clear"/></w:tcPr><w:p><w:pPr><w:spacing w:after="60" w:before="60"/><w:jc w:val="center"/></w:pPr><w:r><w:rPr><w:sz w:val="20"/><w:szCs w:val="20"/></w:rPr><w:t xml:space="preserve">0.7078</w:t></w:r></w:p></w:tc><w:tc><w:tcPr><w:tcW w:type="dxa" w:w="1400"/><w:shd w:fill="F2F2F2" w:color="auto" w:val="clear"/></w:tcPr><w:p><w:pPr><w:spacing w:after="60" w:before="60"/><w:jc w:val="center"/></w:pPr><w:r><w:rPr><w:sz w:val="20"/><w:szCs w:val="20"/></w:rPr><w:t xml:space="preserve">-0.292*</w:t></w:r></w:p></w:tc></w:tr><w:tr><w:tc><w:tcPr><w:tcW w:type="dxa" w:w="2400"/><w:shd w:fill="FFFFFF" w:color="auto" w:val="clear"/></w:tcPr><w:p><w:pPr><w:spacing w:after="60" w:before="60"/><w:jc w:val="left"/></w:pPr><w:r><w:rPr><w:sz w:val="20"/><w:szCs w:val="20"/></w:rPr><w:t xml:space="preserve">Sleep Apnea</w:t></w:r></w:p></w:tc><w:tc><w:tcPr><w:tcW w:type="dxa" w:w="1600"/><w:shd w:fill="FFFFFF" w:color="auto" w:val="clear"/></w:tcPr><w:p><w:pPr><w:spacing w:after="60" w:before="60"/><w:jc w:val="center"/></w:pPr><w:r><w:rPr><w:sz w:val="20"/><w:szCs w:val="20"/></w:rPr><w:t xml:space="preserve">0.6754</w:t></w:r></w:p></w:tc><w:tc><w:tcPr><w:tcW w:type="dxa" w:w="1400"/><w:shd w:fill="FFFFFF" w:color="auto" w:val="clear"/></w:tcPr><w:p><w:pPr><w:spacing w:after="60" w:before="60"/><w:jc w:val="center"/></w:pPr><w:r><w:rPr><w:sz w:val="20"/><w:szCs w:val="20"/></w:rPr><w:t xml:space="preserve">0.9994</w:t></w:r></w:p></w:tc><w:tc><w:tcPr><w:tcW w:type="dxa" w:w="1800"/><w:shd w:fill="FFFFFF" w:color="auto" w:val="clear"/></w:tcPr><w:p><w:pPr><w:spacing w:after="60" w:before="60"/><w:jc w:val="center"/></w:pPr><w:r><w:rPr><w:sz w:val="20"/><w:szCs w:val="20"/></w:rPr><w:t xml:space="preserve">0.4919</w:t></w:r></w:p></w:tc><w:tc><w:tcPr><w:tcW w:type="dxa" w:w="1400"/><w:shd w:fill="FFFFFF" w:color="auto" w:val="clear"/></w:tcPr><w:p><w:pPr><w:spacing w:after="60" w:before="60"/><w:jc w:val="center"/></w:pPr><w:r><w:rPr><w:sz w:val="20"/><w:szCs w:val="20"/></w:rPr><w:t xml:space="preserve">-0.508</w:t></w:r></w:p></w:tc></w:tr><w:tr><w:tc><w:tcPr><w:tcW w:type="dxa" w:w="2400"/><w:shd w:fill="F2F2F2" w:color="auto" w:val="clear"/></w:tcPr><w:p><w:pPr><w:spacing w:after="60" w:before="60"/><w:jc w:val="left"/></w:pPr><w:r><w:rPr><w:sz w:val="20"/><w:szCs w:val="20"/></w:rPr><w:t xml:space="preserve">Depression/Anxiety</w:t></w:r></w:p></w:tc><w:tc><w:tcPr><w:tcW w:type="dxa" w:w="1600"/><w:shd w:fill="F2F2F2" w:color="auto" w:val="clear"/></w:tcPr><w:p><w:pPr><w:spacing w:after="60" w:before="60"/><w:jc w:val="center"/></w:pPr><w:r><w:rPr><w:sz w:val="20"/><w:szCs w:val="20"/></w:rPr><w:t xml:space="preserve">0.5989</w:t></w:r></w:p></w:tc><w:tc><w:tcPr><w:tcW w:type="dxa" w:w="1400"/><w:shd w:fill="F2F2F2" w:color="auto" w:val="clear"/></w:tcPr><w:p><w:pPr><w:spacing w:after="60" w:before="60"/><w:jc w:val="center"/></w:pPr><w:r><w:rPr><w:sz w:val="20"/><w:szCs w:val="20"/></w:rPr><w:t xml:space="preserve">0.6795</w:t></w:r></w:p></w:tc><w:tc><w:tcPr><w:tcW w:type="dxa" w:w="1800"/><w:shd w:fill="F2F2F2" w:color="auto" w:val="clear"/></w:tcPr><w:p><w:pPr><w:spacing w:after="60" w:before="60"/><w:jc w:val="center"/></w:pPr><w:r><w:rPr><w:sz w:val="20"/><w:szCs w:val="20"/></w:rPr><w:t xml:space="preserve">0.7614</w:t></w:r></w:p></w:tc><w:tc><w:tcPr><w:tcW w:type="dxa" w:w="1400"/><w:shd w:fill="F2F2F2" w:color="auto" w:val="clear"/></w:tcPr><w:p><w:pPr><w:spacing w:after="60" w:before="60"/><w:jc w:val="center"/></w:pPr><w:r><w:rPr><w:sz w:val="20"/><w:szCs w:val="20"/></w:rPr><w:t xml:space="preserve">+0.082</w:t></w:r></w:p></w:tc></w:tr><w:tr><w:tc><w:tcPr><w:tcW w:type="dxa" w:w="2400"/><w:shd w:fill="FFFFFF" w:color="auto" w:val="clear"/></w:tcPr><w:p><w:pPr><w:spacing w:after="60" w:before="60"/><w:jc w:val="left"/></w:pPr><w:r><w:rPr><w:sz w:val="20"/><w:szCs w:val="20"/></w:rPr><w:t xml:space="preserve">COPD</w:t></w:r></w:p></w:tc><w:tc><w:tcPr><w:tcW w:type="dxa" w:w="1600"/><w:shd w:fill="FFFFFF" w:color="auto" w:val="clear"/></w:tcPr><w:p><w:pPr><w:spacing w:after="60" w:before="60"/><w:jc w:val="center"/></w:pPr><w:r><w:rPr><w:sz w:val="20"/><w:szCs w:val="20"/></w:rPr><w:t xml:space="preserve">0.8378</w:t></w:r></w:p></w:tc><w:tc><w:tcPr><w:tcW w:type="dxa" w:w="1400"/><w:shd w:fill="FFFFFF" w:color="auto" w:val="clear"/></w:tcPr><w:p><w:pPr><w:spacing w:after="60" w:before="60"/><w:jc w:val="center"/></w:pPr><w:r><w:rPr><w:sz w:val="20"/><w:szCs w:val="20"/></w:rPr><w:t xml:space="preserve">0.9925</w:t></w:r></w:p></w:tc><w:tc><w:tcPr><w:tcW w:type="dxa" w:w="1800"/><w:shd w:fill="FFFFFF" w:color="auto" w:val="clear"/></w:tcPr><w:p><w:pPr><w:spacing w:after="60" w:before="60"/><w:jc w:val="center"/></w:pPr><w:r><w:rPr><w:sz w:val="20"/><w:szCs w:val="20"/></w:rPr><w:t xml:space="preserve">0.5765</w:t></w:r></w:p></w:tc><w:tc><w:tcPr><w:tcW w:type="dxa" w:w="1400"/><w:shd w:fill="FFFFFF" w:color="auto" w:val="clear"/></w:tcPr><w:p><w:pPr><w:spacing w:after="60" w:before="60"/><w:jc w:val="center"/></w:pPr><w:r><w:rPr><w:sz w:val="20"/><w:szCs w:val="20"/></w:rPr><w:t xml:space="preserve">-0.416</w:t></w:r></w:p></w:tc></w:tr><w:tr><w:tc><w:tcPr><w:tcW w:type="dxa" w:w="2400"/><w:shd w:fill="F2F2F2" w:color="auto" w:val="clear"/></w:tcPr><w:p><w:pPr><w:spacing w:after="60" w:before="60"/><w:jc w:val="left"/></w:pPr><w:r><w:rPr><w:sz w:val="20"/><w:szCs w:val="20"/></w:rPr><w:t xml:space="preserve">Metabolic Syndrome</w:t></w:r></w:p></w:tc><w:tc><w:tcPr><w:tcW w:type="dxa" w:w="1600"/><w:shd w:fill="F2F2F2" w:color="auto" w:val="clear"/></w:tcPr><w:p><w:pPr><w:spacing w:after="60" w:before="60"/><w:jc w:val="center"/></w:pPr><w:r><w:rPr><w:sz w:val="20"/><w:szCs w:val="20"/></w:rPr><w:t xml:space="preserve">0.7913</w:t></w:r></w:p></w:tc><w:tc><w:tcPr><w:tcW w:type="dxa" w:w="1400"/><w:shd w:fill="F2F2F2" w:color="auto" w:val="clear"/></w:tcPr><w:p><w:pPr><w:spacing w:after="60" w:before="60"/><w:jc w:val="center"/></w:pPr><w:r><w:rPr><w:sz w:val="20"/><w:szCs w:val="20"/></w:rPr><w:t xml:space="preserve">1.000*</w:t></w:r></w:p></w:tc><w:tc><w:tcPr><w:tcW w:type="dxa" w:w="1800"/><w:shd w:fill="F2F2F2" w:color="auto" w:val="clear"/></w:tcPr><w:p><w:pPr><w:spacing w:after="60" w:before="60"/><w:jc w:val="center"/></w:pPr><w:r><w:rPr><w:sz w:val="20"/><w:szCs w:val="20"/></w:rPr><w:t xml:space="preserve">0.9032</w:t></w:r></w:p></w:tc><w:tc><w:tcPr><w:tcW w:type="dxa" w:w="1400"/><w:shd w:fill="F2F2F2" w:color="auto" w:val="clear"/></w:tcPr><w:p><w:pPr><w:spacing w:after="60" w:before="60"/><w:jc w:val="center"/></w:pPr><w:r><w:rPr><w:sz w:val="20"/><w:szCs w:val="20"/></w:rPr><w:t xml:space="preserve">-0.097*</w:t></w:r></w:p></w:tc></w:tr><w:tr><w:tc><w:tcPr><w:tcW w:type="dxa" w:w="2400"/><w:shd w:fill="FFFFFF" w:color="auto" w:val="clear"/></w:tcPr><w:p><w:pPr><w:spacing w:after="60" w:before="60"/><w:jc w:val="left"/></w:pPr><w:r><w:rPr><w:sz w:val="20"/><w:szCs w:val="20"/></w:rPr><w:t xml:space="preserve">Hypothyroidism</w:t></w:r></w:p></w:tc><w:tc><w:tcPr><w:tcW w:type="dxa" w:w="1600"/><w:shd w:fill="FFFFFF" w:color="auto" w:val="clear"/></w:tcPr><w:p><w:pPr><w:spacing w:after="60" w:before="60"/><w:jc w:val="center"/></w:pPr><w:r><w:rPr><w:sz w:val="20"/><w:szCs w:val="20"/></w:rPr><w:t xml:space="preserve">0.6249</w:t></w:r></w:p></w:tc><w:tc><w:tcPr><w:tcW w:type="dxa" w:w="1400"/><w:shd w:fill="FFFFFF" w:color="auto" w:val="clear"/></w:tcPr><w:p><w:pPr><w:spacing w:after="60" w:before="60"/><w:jc w:val="center"/></w:pPr><w:r><w:rPr><w:sz w:val="20"/><w:szCs w:val="20"/></w:rPr><w:t xml:space="preserve">0.6810</w:t></w:r></w:p></w:tc><w:tc><w:tcPr><w:tcW w:type="dxa" w:w="1800"/><w:shd w:fill="FFFFFF" w:color="auto" w:val="clear"/></w:tcPr><w:p><w:pPr><w:spacing w:after="60" w:before="60"/><w:jc w:val="center"/></w:pPr><w:r><w:rPr><w:sz w:val="20"/><w:szCs w:val="20"/></w:rPr><w:t xml:space="preserve">0.4390</w:t></w:r></w:p></w:tc><w:tc><w:tcPr><w:tcW w:type="dxa" w:w="1400"/><w:shd w:fill="FFFFFF" w:color="auto" w:val="clear"/></w:tcPr><w:p><w:pPr><w:spacing w:after="60" w:before="60"/><w:jc w:val="center"/></w:pPr><w:r><w:rPr><w:sz w:val="20"/><w:szCs w:val="20"/></w:rPr><w:t xml:space="preserve">-0.242</w:t></w:r></w:p></w:tc></w:tr><w:tr><w:tc><w:tcPr><w:tcW w:type="dxa" w:w="2400"/><w:shd w:fill="F2F2F2" w:color="auto" w:val="clear"/></w:tcPr><w:p><w:pPr><w:spacing w:after="60" w:before="60"/><w:jc w:val="left"/></w:pPr><w:r><w:rPr><w:sz w:val="20"/><w:szCs w:val="20"/></w:rPr><w:t xml:space="preserve">Prediabetes</w:t></w:r></w:p></w:tc><w:tc><w:tcPr><w:tcW w:type="dxa" w:w="1600"/><w:shd w:fill="F2F2F2" w:color="auto" w:val="clear"/></w:tcPr><w:p><w:pPr><w:spacing w:after="60" w:before="60"/><w:jc w:val="center"/></w:pPr><w:r><w:rPr><w:sz w:val="20"/><w:szCs w:val="20"/></w:rPr><w:t xml:space="preserve">0.9855</w:t></w:r></w:p></w:tc><w:tc><w:tcPr><w:tcW w:type="dxa" w:w="1400"/><w:shd w:fill="F2F2F2" w:color="auto" w:val="clear"/></w:tcPr><w:p><w:pPr><w:spacing w:after="60" w:before="60"/><w:jc w:val="center"/></w:pPr><w:r><w:rPr><w:sz w:val="20"/><w:szCs w:val="20"/></w:rPr><w:t xml:space="preserve">0.9977</w:t></w:r></w:p></w:tc><w:tc><w:tcPr><w:tcW w:type="dxa" w:w="1800"/><w:shd w:fill="F2F2F2" w:color="auto" w:val="clear"/></w:tcPr><w:p><w:pPr><w:spacing w:after="60" w:before="60"/><w:jc w:val="center"/></w:pPr><w:r><w:rPr><w:sz w:val="20"/><w:szCs w:val="20"/></w:rPr><w:t xml:space="preserve">0.5215</w:t></w:r></w:p></w:tc><w:tc><w:tcPr><w:tcW w:type="dxa" w:w="1400"/><w:shd w:fill="F2F2F2" w:color="auto" w:val="clear"/></w:tcPr><w:p><w:pPr><w:spacing w:after="60" w:before="60"/><w:jc w:val="center"/></w:pPr><w:r><w:rPr><w:sz w:val="20"/><w:szCs w:val="20"/></w:rPr><w:t xml:space="preserve">-0.476</w:t></w:r></w:p></w:tc></w:tr><w:tr><w:tc><w:tcPr><w:tcW w:type="dxa" w:w="2400"/><w:shd w:fill="FFFFFF" w:color="auto" w:val="clear"/></w:tcPr><w:p><w:pPr><w:spacing w:after="60" w:before="60"/><w:jc w:val="left"/></w:pPr><w:r><w:rPr><w:sz w:val="20"/><w:szCs w:val="20"/></w:rPr><w:t xml:space="preserve">Colorectal Cancer</w:t></w:r></w:p></w:tc><w:tc><w:tcPr><w:tcW w:type="dxa" w:w="1600"/><w:shd w:fill="FFFFFF" w:color="auto" w:val="clear"/></w:tcPr><w:p><w:pPr><w:spacing w:after="60" w:before="60"/><w:jc w:val="center"/></w:pPr><w:r><w:rPr><w:sz w:val="20"/><w:szCs w:val="20"/></w:rPr><w:t xml:space="preserve">N/A</w:t></w:r></w:p></w:tc><w:tc><w:tcPr><w:tcW w:type="dxa" w:w="1400"/><w:shd w:fill="FFFFFF" w:color="auto" w:val="clear"/></w:tcPr><w:p><w:pPr><w:spacing w:after="60" w:before="60"/><w:jc w:val="center"/></w:pPr><w:r><w:rPr><w:sz w:val="20"/><w:szCs w:val="20"/></w:rPr><w:t xml:space="preserve">N/A</w:t></w:r></w:p></w:tc><w:tc><w:tcPr><w:tcW w:type="dxa" w:w="1800"/><w:shd w:fill="FFFFFF" w:color="auto" w:val="clear"/></w:tcPr><w:p><w:pPr><w:spacing w:after="60" w:before="60"/><w:jc w:val="center"/></w:pPr><w:r><w:rPr><w:sz w:val="20"/><w:szCs w:val="20"/></w:rPr><w:t xml:space="preserve">0.962</w:t></w:r></w:p></w:tc><w:tc><w:tcPr><w:tcW w:type="dxa" w:w="1400"/><w:shd w:fill="FFFFFF" w:color="auto" w:val="clear"/></w:tcPr><w:p><w:pPr><w:spacing w:after="60" w:before="60"/><w:jc w:val="center"/></w:pPr><w:r><w:rPr><w:sz w:val="20"/><w:szCs w:val="20"/></w:rPr><w:t xml:space="preserve">New label</w:t></w:r></w:p></w:tc></w:tr><w:tr><w:tc><w:tcPr><w:tcW w:type="dxa" w:w="2400"/><w:shd w:fill="F2F2F2" w:color="auto" w:val="clear"/></w:tcPr><w:p><w:pPr><w:spacing w:after="60" w:before="60"/><w:jc w:val="left"/></w:pPr><w:r><w:rPr><w:sz w:val="20"/><w:szCs w:val="20"/></w:rPr><w:t xml:space="preserve">Macro Average</w:t></w:r></w:p></w:tc><w:tc><w:tcPr><w:tcW w:type="dxa" w:w="1600"/><w:shd w:fill="F2F2F2" w:color="auto" w:val="clear"/></w:tcPr><w:p><w:pPr><w:spacing w:after="60" w:before="60"/><w:jc w:val="center"/></w:pPr><w:r><w:rPr><w:sz w:val="20"/><w:szCs w:val="20"/></w:rPr><w:t xml:space="preserve">0.7813</w:t></w:r></w:p></w:tc><w:tc><w:tcPr><w:tcW w:type="dxa" w:w="1400"/><w:shd w:fill="F2F2F2" w:color="auto" w:val="clear"/></w:tcPr><w:p><w:pPr><w:spacing w:after="60" w:before="60"/><w:jc w:val="center"/></w:pPr><w:r><w:rPr><w:sz w:val="20"/><w:szCs w:val="20"/></w:rPr><w:t xml:space="preserve">0.9032*</w:t></w:r></w:p></w:tc><w:tc><w:tcPr><w:tcW w:type="dxa" w:w="1800"/><w:shd w:fill="F2F2F2" w:color="auto" w:val="clear"/></w:tcPr><w:p><w:pPr><w:spacing w:after="60" w:before="60"/><w:jc w:val="center"/></w:pPr><w:r><w:rPr><w:sz w:val="20"/><w:szCs w:val="20"/></w:rPr><w:t xml:space="preserve">0.6788</w:t></w:r></w:p></w:tc><w:tc><w:tcPr><w:tcW w:type="dxa" w:w="1400"/><w:shd w:fill="F2F2F2" w:color="auto" w:val="clear"/></w:tcPr><w:p><w:pPr><w:spacing w:after="60" w:before="60"/><w:jc w:val="center"/></w:pPr><w:r><w:rPr><w:sz w:val="20"/><w:szCs w:val="20"/></w:rPr><w:t xml:space="preserve">-0.225</w:t></w:r></w:p></w:tc></w:tr></w:tbl><w:p><w:pPr><w:spacing w:after="200" w:before="0"/></w:pPr><w:r><w:rPr><w:sz w:val="22"/><w:szCs w:val="22"/></w:rPr><w:t xml:space="preserve"/></w:r></w:p><w:p><w:pPr><w:spacing w:after="120" w:before="80" w:line="276" w:lineRule="auto"/><w:ind/><w:jc w:val="both"/></w:pPr><w:r><w:rPr><w:b w:val="false"/><w:bCs w:val="false"/><w:i w:val="false"/><w:iCs w:val="false"/><w:color w:val="000000"/><w:sz w:val="22"/><w:szCs w:val="22"/></w:rPr><w:t xml:space="preserve">XGBoost achieves macro AUROC 0.9032 on learnable labels (excluding hypertension, CKD, and metabolic_syndrome, which are deterministic threshold functions of the input features and trivially recoverable). Bio_ClinicalBERT achieves macro AUROC 0.6788 on the same test set. The tabular model is stronger across most labels, consistent with recent findings that gradient-boosted trees remain competitive or superior to language models when the input features are structured numeric clinical values with well-defined thresholds. XGBoost can access these thresholds directly; a language model must recover them from natural language paraphrase, which is a harder task for the same underlying decision boundary. Note: during a post-development audit of the clinical risk equations against source publications, several coefficient refinements were applied — most notably to the ACC/AHA ASCVD white-female equation. The evaluation was also refined to explicitly flag labels that are deterministic threshold functions of the input features (marked with an asterisk in the table above). A dedicated reference-patient test suite now gates any future modifications to the risk equations.</w:t></w:r></w:p><w:p><w:pPr><w:spacing w:after="200" w:before="0"/></w:pPr><w:r><w:rPr><w:sz w:val="22"/><w:szCs w:val="22"/></w:rPr><w:t xml:space="preserve"/></w:r></w:p><w:p><w:pPr><w:pStyle w:val="Heading3"/><w:spacing w:after="100" w:before="200"/><w:rPr><w:b/><w:bCs/><w:color w:val="1E3A5F"/><w:sz w:val="22"/><w:szCs w:val="22"/></w:rPr></w:pPr><w:r><w:t xml:space="preserve">4.3.2 Identified Limitation — Hypertension Over-prediction</w:t></w:r></w:p><w:p><w:pPr><w:spacing w:after="120" w:before="80" w:line="276" w:lineRule="auto"/><w:ind/><w:jc w:val="both"/></w:pPr><w:r><w:rPr><w:b w:val="false"/><w:bCs w:val="false"/><w:i w:val="false"/><w:iCs w:val="false"/><w:color w:val="000000"/><w:sz w:val="22"/><w:szCs w:val="22"/></w:rPr><w:t xml:space="preserve">During API testing, the model assigned 99% hypertension probability to a 28-year-old female with blood pressure of 110/70 mmHg — a clinically normal reading that should yield low hypertension risk. This reflects a known limitation of text-based language models: they do not process numeric values with the same threshold precision as tabular models.</w:t></w:r></w:p><w:p><w:pPr><w:spacing w:after="120" w:before="80" w:line="276" w:lineRule="auto"/><w:ind/><w:jc w:val="both"/></w:pPr><w:r><w:rPr><w:b w:val="false"/><w:bCs w:val="false"/><w:i w:val="false"/><w:iCs w:val="false"/><w:color w:val="000000"/><w:sz w:val="22"/><w:szCs w:val="22"/></w:rPr><w:t xml:space="preserve">The Bio_ClinicalBERT model learned from training data where 48.1% of patients had hypertension, creating a prior bias toward the positive class for the most prevalent label. The XGBoost model correctly handles this by directly comparing SBP against the 130 mmHg threshold. Recommended mitigation: implement a hybrid inference strategy where XGBoost predictions are used for hard-threshold conditions (Hypertension, Diabetes, Metabolic Syndrome) while Bio_ClinicalBERT predictions are used for complex multi-feature conditions (CVD Risk, Depression, OSA, COPD).</w:t></w:r></w:p><w:p><w:pPr><w:spacing w:after="200" w:before="0"/></w:pPr><w:r><w:rPr><w:sz w:val="22"/><w:szCs w:val="22"/></w:rPr><w:t xml:space="preserve"/></w:r></w:p><w:p xmlns:w="http://schemas.openxmlformats.org/wordprocessingml/2006/main"><w:pPr><w:pStyle w:val="Heading2"/><w:spacing w:before="300" w:after="150"/></w:pPr><w:r><w:rPr><w:b/><w:color w:val="2E6DA4"/><w:sz w:val="24"/></w:rPr><w:t xml:space="preserve">4.4 Learning Curve & Power Analysis</w:t></w:r></w:p><w:p xmlns:w="http://schemas.openxmlformats.org/wordprocessingml/2006/main"><w:pPr><w:jc w:val="both"/><w:spacing w:before="80" w:after="120" w:line="276" w:lineRule="auto"/></w:pPr><w:r><w:rPr><w:sz w:val="22"/></w:rPr><w:t xml:space="preserve">A power analysis — training both models at 5 dataset sizes (1,000 through 20,000 records) and fitting a power-law learning curve — was considered as a way to quantify data efficiency. It was ultimately deprioritized in favor of the head-to-head comparison in Section 4.3. The rationale: on this specific dataset with structured numeric clinical features, the more informative question is how the two model families compare at the operating point where the deployed system will run (20,000 training records), not how they scale with dataset size. A full learning-curve analysis remains a natural item for the v2 evaluation described in Section 9, ideally executed alongside the NHANES cycle-split protocol so that measured performance reflects real-world generalization rather than in-distribution recovery.</w:t></w:r></w:p><w:p><w:pPr><w:pStyle w:val="Heading2"/><w:spacing w:after="150" w:before="300"/><w:rPr><w:b/><w:bCs/><w:color w:val="2E6DA4"/><w:sz w:val="24"/><w:szCs w:val="24"/></w:rPr></w:pPr><w:r><w:t xml:space="preserve">4.5 SHAP Feature Importance Analysis</w:t></w:r></w:p><w:p><w:pPr><w:spacing w:after="120" w:before="80" w:line="276" w:lineRule="auto"/><w:ind/><w:jc w:val="both"/></w:pPr><w:r><w:rPr><w:b w:val="false"/><w:bCs w:val="false"/><w:i w:val="false"/><w:iCs w:val="false"/><w:color w:val="000000"/><w:sz w:val="22"/><w:szCs w:val="22"/></w:rPr><w:t xml:space="preserve">TreeSHAP values were computed for XGBoost models trained on 100,000 synthetic records. Clinical alignment — defined as the fraction of top-8 SHAP features matching known clinical risk factors from published literature — was assessed for each condition label.</w:t></w:r></w:p><w:p><w:pPr><w:spacing w:after="200" w:before="0"/></w:pPr><w:r><w:rPr><w:sz w:val="22"/><w:szCs w:val="22"/></w:rPr><w:t xml:space="preserve"/></w:r></w:p><w:tbl><w:tblPr><w:tblW w:type="dxa" w:w="7600"/><w:tblBorders><w:top w:val="single" w:color="auto" w:sz="4"/><w:left w:val="single" w:color="auto" w:sz="4"/><w:bottom w:val="single" w:color="auto" w:sz="4"/><w:right w:val="single" w:color="auto" w:sz="4"/><w:insideH w:val="single" w:color="auto" w:sz="4"/><w:insideV w:val="single" w:color="auto" w:sz="4"/></w:tblBorders></w:tblPr><w:tblGrid><w:gridCol w:w="2200"/><w:gridCol w:w="4000"/><w:gridCol w:w="1400"/></w:tblGrid><w:tr><w:trPr><w:tblHeader/></w:trPr><w:tc><w:tcPr><w:tcW w:type="dxa" w:w="2200"/><w:shd w:fill="1E3A5F" w:color="auto" w:val="clear"/></w:tcPr><w:p><w:pPr><w:spacing w:after="60" w:before="60"/><w:jc w:val="center"/></w:pPr><w:r><w:rPr><w:b/><w:bCs/><w:color w:val="FFFFFF"/><w:sz w:val="20"/><w:szCs w:val="20"/></w:rPr><w:t xml:space="preserve">Condition</w:t></w:r></w:p></w:tc><w:tc><w:tcPr><w:tcW w:type="dxa" w:w="4000"/><w:shd w:fill="1E3A5F" w:color="auto" w:val="clear"/></w:tcPr><w:p><w:pPr><w:spacing w:after="60" w:before="60"/><w:jc w:val="center"/></w:pPr><w:r><w:rPr><w:b/><w:bCs/><w:color w:val="FFFFFF"/><w:sz w:val="20"/><w:szCs w:val="20"/></w:rPr><w:t xml:space="preserve">Top SHAP Features</w:t></w:r></w:p></w:tc><w:tc><w:tcPr><w:tcW w:type="dxa" w:w="1400"/><w:shd w:fill="1E3A5F" w:color="auto" w:val="clear"/></w:tcPr><w:p><w:pPr><w:spacing w:after="60" w:before="60"/><w:jc w:val="center"/></w:pPr><w:r><w:rPr><w:b/><w:bCs/><w:color w:val="FFFFFF"/><w:sz w:val="20"/><w:szCs w:val="20"/></w:rPr><w:t xml:space="preserve">Alignment</w:t></w:r></w:p></w:tc></w:tr><w:tr><w:tc><w:tcPr><w:tcW w:type="dxa" w:w="2200"/><w:shd w:fill="FFFFFF" w:color="auto" w:val="clear"/></w:tcPr><w:p><w:pPr><w:spacing w:after="60" w:before="60"/><w:jc w:val="left"/></w:pPr><w:r><w:rPr><w:sz w:val="20"/><w:szCs w:val="20"/></w:rPr><w:t xml:space="preserve">Hypertension</w:t></w:r></w:p></w:tc><w:tc><w:tcPr><w:tcW w:type="dxa" w:w="4000"/><w:shd w:fill="FFFFFF" w:color="auto" w:val="clear"/></w:tcPr><w:p><w:pPr><w:spacing w:after="60" w:before="60"/><w:jc w:val="center"/></w:pPr><w:r><w:rPr><w:sz w:val="20"/><w:szCs w:val="20"/></w:rPr><w:t xml:space="preserve">SBP, DBP, BP Medication, Age, BMI</w:t></w:r></w:p></w:tc><w:tc><w:tcPr><w:tcW w:type="dxa" w:w="1400"/><w:shd w:fill="FFFFFF" w:color="auto" w:val="clear"/></w:tcPr><w:p><w:pPr><w:spacing w:after="60" w:before="60"/><w:jc w:val="center"/></w:pPr><w:r><w:rPr><w:sz w:val="20"/><w:szCs w:val="20"/></w:rPr><w:t xml:space="preserve">80%</w:t></w:r></w:p></w:tc></w:tr><w:tr><w:tc><w:tcPr><w:tcW w:type="dxa" w:w="2200"/><w:shd w:fill="F2F2F2" w:color="auto" w:val="clear"/></w:tcPr><w:p><w:pPr><w:spacing w:after="60" w:before="60"/><w:jc w:val="left"/></w:pPr><w:r><w:rPr><w:sz w:val="20"/><w:szCs w:val="20"/></w:rPr><w:t xml:space="preserve">Type 2 Diabetes</w:t></w:r></w:p></w:tc><w:tc><w:tcPr><w:tcW w:type="dxa" w:w="4000"/><w:shd w:fill="F2F2F2" w:color="auto" w:val="clear"/></w:tcPr><w:p><w:pPr><w:spacing w:after="60" w:before="60"/><w:jc w:val="center"/></w:pPr><w:r><w:rPr><w:sz w:val="20"/><w:szCs w:val="20"/></w:rPr><w:t xml:space="preserve">HbA1c, Fasting Glucose, BMI, Family Hx DM, Age</w:t></w:r></w:p></w:tc><w:tc><w:tcPr><w:tcW w:type="dxa" w:w="1400"/><w:shd w:fill="F2F2F2" w:color="auto" w:val="clear"/></w:tcPr><w:p><w:pPr><w:spacing w:after="60" w:before="60"/><w:jc w:val="center"/></w:pPr><w:r><w:rPr><w:sz w:val="20"/><w:szCs w:val="20"/></w:rPr><w:t xml:space="preserve">100%</w:t></w:r></w:p></w:tc></w:tr><w:tr><w:tc><w:tcPr><w:tcW w:type="dxa" w:w="2200"/><w:shd w:fill="FFFFFF" w:color="auto" w:val="clear"/></w:tcPr><w:p><w:pPr><w:spacing w:after="60" w:before="60"/><w:jc w:val="left"/></w:pPr><w:r><w:rPr><w:sz w:val="20"/><w:szCs w:val="20"/></w:rPr><w:t xml:space="preserve">CVD Risk</w:t></w:r></w:p></w:tc><w:tc><w:tcPr><w:tcW w:type="dxa" w:w="4000"/><w:shd w:fill="FFFFFF" w:color="auto" w:val="clear"/></w:tcPr><w:p><w:pPr><w:spacing w:after="60" w:before="60"/><w:jc w:val="center"/></w:pPr><w:r><w:rPr><w:sz w:val="20"/><w:szCs w:val="20"/></w:rPr><w:t xml:space="preserve">Male Sex, SBP, Age, BP Medication, Cholesterol</w:t></w:r></w:p></w:tc><w:tc><w:tcPr><w:tcW w:type="dxa" w:w="1400"/><w:shd w:fill="FFFFFF" w:color="auto" w:val="clear"/></w:tcPr><w:p><w:pPr><w:spacing w:after="60" w:before="60"/><w:jc w:val="center"/></w:pPr><w:r><w:rPr><w:sz w:val="20"/><w:szCs w:val="20"/></w:rPr><w:t xml:space="preserve">57%</w:t></w:r></w:p></w:tc></w:tr><w:tr><w:tc><w:tcPr><w:tcW w:type="dxa" w:w="2200"/><w:shd w:fill="F2F2F2" w:color="auto" w:val="clear"/></w:tcPr><w:p><w:pPr><w:spacing w:after="60" w:before="60"/><w:jc w:val="left"/></w:pPr><w:r><w:rPr><w:sz w:val="20"/><w:szCs w:val="20"/></w:rPr><w:t xml:space="preserve">CKD</w:t></w:r></w:p></w:tc><w:tc><w:tcPr><w:tcW w:type="dxa" w:w="4000"/><w:shd w:fill="F2F2F2" w:color="auto" w:val="clear"/></w:tcPr><w:p><w:pPr><w:spacing w:after="60" w:before="60"/><w:jc w:val="center"/></w:pPr><w:r><w:rPr><w:sz w:val="20"/><w:szCs w:val="20"/></w:rPr><w:t xml:space="preserve">Creatinine, Age, HbA1c, SBP</w:t></w:r></w:p></w:tc><w:tc><w:tcPr><w:tcW w:type="dxa" w:w="1400"/><w:shd w:fill="F2F2F2" w:color="auto" w:val="clear"/></w:tcPr><w:p><w:pPr><w:spacing w:after="60" w:before="60"/><w:jc w:val="center"/></w:pPr><w:r><w:rPr><w:sz w:val="20"/><w:szCs w:val="20"/></w:rPr><w:t xml:space="preserve">100%</w:t></w:r></w:p></w:tc></w:tr><w:tr><w:tc><w:tcPr><w:tcW w:type="dxa" w:w="2200"/><w:shd w:fill="FFFFFF" w:color="auto" w:val="clear"/></w:tcPr><w:p><w:pPr><w:spacing w:after="60" w:before="60"/><w:jc w:val="left"/></w:pPr><w:r><w:rPr><w:sz w:val="20"/><w:szCs w:val="20"/></w:rPr><w:t xml:space="preserve">Sleep Apnea</w:t></w:r></w:p></w:tc><w:tc><w:tcPr><w:tcW w:type="dxa" w:w="4000"/><w:shd w:fill="FFFFFF" w:color="auto" w:val="clear"/></w:tcPr><w:p><w:pPr><w:spacing w:after="60" w:before="60"/><w:jc w:val="center"/></w:pPr><w:r><w:rPr><w:sz w:val="20"/><w:szCs w:val="20"/></w:rPr><w:t xml:space="preserve">BMI, Snoring, Male Sex, Age, Waist</w:t></w:r></w:p></w:tc><w:tc><w:tcPr><w:tcW w:type="dxa" w:w="1400"/><w:shd w:fill="FFFFFF" w:color="auto" w:val="clear"/></w:tcPr><w:p><w:pPr><w:spacing w:after="60" w:before="60"/><w:jc w:val="center"/></w:pPr><w:r><w:rPr><w:sz w:val="20"/><w:szCs w:val="20"/></w:rPr><w:t xml:space="preserve">80%</w:t></w:r></w:p></w:tc></w:tr><w:tr><w:tc><w:tcPr><w:tcW w:type="dxa" w:w="2200"/><w:shd w:fill="F2F2F2" w:color="auto" w:val="clear"/></w:tcPr><w:p><w:pPr><w:spacing w:after="60" w:before="60"/><w:jc w:val="left"/></w:pPr><w:r><w:rPr><w:sz w:val="20"/><w:szCs w:val="20"/></w:rPr><w:t xml:space="preserve">Depression/Anxiety</w:t></w:r></w:p></w:tc><w:tc><w:tcPr><w:tcW w:type="dxa" w:w="4000"/><w:shd w:fill="F2F2F2" w:color="auto" w:val="clear"/></w:tcPr><w:p><w:pPr><w:spacing w:after="60" w:before="60"/><w:jc w:val="center"/></w:pPr><w:r><w:rPr><w:sz w:val="20"/><w:szCs w:val="20"/></w:rPr><w:t xml:space="preserve">Female Sex, Age, Low Activity</w:t></w:r></w:p></w:tc><w:tc><w:tcPr><w:tcW w:type="dxa" w:w="1400"/><w:shd w:fill="F2F2F2" w:color="auto" w:val="clear"/></w:tcPr><w:p><w:pPr><w:spacing w:after="60" w:before="60"/><w:jc w:val="center"/></w:pPr><w:r><w:rPr><w:sz w:val="20"/><w:szCs w:val="20"/></w:rPr><w:t xml:space="preserve">67%</w:t></w:r></w:p></w:tc></w:tr><w:tr><w:tc><w:tcPr><w:tcW w:type="dxa" w:w="2200"/><w:shd w:fill="FFFFFF" w:color="auto" w:val="clear"/></w:tcPr><w:p><w:pPr><w:spacing w:after="60" w:before="60"/><w:jc w:val="left"/></w:pPr><w:r><w:rPr><w:sz w:val="20"/><w:szCs w:val="20"/></w:rPr><w:t xml:space="preserve">COPD</w:t></w:r></w:p></w:tc><w:tc><w:tcPr><w:tcW w:type="dxa" w:w="4000"/><w:shd w:fill="FFFFFF" w:color="auto" w:val="clear"/></w:tcPr><w:p><w:pPr><w:spacing w:after="60" w:before="60"/><w:jc w:val="center"/></w:pPr><w:r><w:rPr><w:sz w:val="20"/><w:szCs w:val="20"/></w:rPr><w:t xml:space="preserve">Pack Years, Age, Smoker</w:t></w:r></w:p></w:tc><w:tc><w:tcPr><w:tcW w:type="dxa" w:w="1400"/><w:shd w:fill="FFFFFF" w:color="auto" w:val="clear"/></w:tcPr><w:p><w:pPr><w:spacing w:after="60" w:before="60"/><w:jc w:val="center"/></w:pPr><w:r><w:rPr><w:sz w:val="20"/><w:szCs w:val="20"/></w:rPr><w:t xml:space="preserve">67%</w:t></w:r></w:p></w:tc></w:tr><w:tr><w:tc><w:tcPr><w:tcW w:type="dxa" w:w="2200"/><w:shd w:fill="F2F2F2" w:color="auto" w:val="clear"/></w:tcPr><w:p><w:pPr><w:spacing w:after="60" w:before="60"/><w:jc w:val="left"/></w:pPr><w:r><w:rPr><w:sz w:val="20"/><w:szCs w:val="20"/></w:rPr><w:t xml:space="preserve">Metabolic Syndrome</w:t></w:r></w:p></w:tc><w:tc><w:tcPr><w:tcW w:type="dxa" w:w="4000"/><w:shd w:fill="F2F2F2" w:color="auto" w:val="clear"/></w:tcPr><w:p><w:pPr><w:spacing w:after="60" w:before="60"/><w:jc w:val="center"/></w:pPr><w:r><w:rPr><w:sz w:val="20"/><w:szCs w:val="20"/></w:rPr><w:t xml:space="preserve">Waist, Fasting Glucose, HDL, SBP, BMI</w:t></w:r></w:p></w:tc><w:tc><w:tcPr><w:tcW w:type="dxa" w:w="1400"/><w:shd w:fill="F2F2F2" w:color="auto" w:val="clear"/></w:tcPr><w:p><w:pPr><w:spacing w:after="60" w:before="60"/><w:jc w:val="center"/></w:pPr><w:r><w:rPr><w:sz w:val="20"/><w:szCs w:val="20"/></w:rPr><w:t xml:space="preserve">80%</w:t></w:r></w:p></w:tc></w:tr><w:tr><w:tc><w:tcPr><w:tcW w:type="dxa" w:w="2200"/><w:shd w:fill="FFFFFF" w:color="auto" w:val="clear"/></w:tcPr><w:p><w:pPr><w:spacing w:after="60" w:before="60"/><w:jc w:val="left"/></w:pPr><w:r><w:rPr><w:sz w:val="20"/><w:szCs w:val="20"/></w:rPr><w:t xml:space="preserve">Hypothyroidism</w:t></w:r></w:p></w:tc><w:tc><w:tcPr><w:tcW w:type="dxa" w:w="4000"/><w:shd w:fill="FFFFFF" w:color="auto" w:val="clear"/></w:tcPr><w:p><w:pPr><w:spacing w:after="60" w:before="60"/><w:jc w:val="center"/></w:pPr><w:r><w:rPr><w:sz w:val="20"/><w:szCs w:val="20"/></w:rPr><w:t xml:space="preserve">Female Sex, Age</w:t></w:r></w:p></w:tc><w:tc><w:tcPr><w:tcW w:type="dxa" w:w="1400"/><w:shd w:fill="FFFFFF" w:color="auto" w:val="clear"/></w:tcPr><w:p><w:pPr><w:spacing w:after="60" w:before="60"/><w:jc w:val="center"/></w:pPr><w:r><w:rPr><w:sz w:val="20"/><w:szCs w:val="20"/></w:rPr><w:t xml:space="preserve">100%</w:t></w:r></w:p></w:tc></w:tr><w:tr><w:tc><w:tcPr><w:tcW w:type="dxa" w:w="2200"/><w:shd w:fill="F2F2F2" w:color="auto" w:val="clear"/></w:tcPr><w:p><w:pPr><w:spacing w:after="60" w:before="60"/><w:jc w:val="left"/></w:pPr><w:r><w:rPr><w:sz w:val="20"/><w:szCs w:val="20"/></w:rPr><w:t xml:space="preserve">Prediabetes</w:t></w:r></w:p></w:tc><w:tc><w:tcPr><w:tcW w:type="dxa" w:w="4000"/><w:shd w:fill="F2F2F2" w:color="auto" w:val="clear"/></w:tcPr><w:p><w:pPr><w:spacing w:after="60" w:before="60"/><w:jc w:val="center"/></w:pPr><w:r><w:rPr><w:sz w:val="20"/><w:szCs w:val="20"/></w:rPr><w:t xml:space="preserve">HbA1c, Fasting Glucose, BMI, Age</w:t></w:r></w:p></w:tc><w:tc><w:tcPr><w:tcW w:type="dxa" w:w="1400"/><w:shd w:fill="F2F2F2" w:color="auto" w:val="clear"/></w:tcPr><w:p><w:pPr><w:spacing w:after="60" w:before="60"/><w:jc w:val="center"/></w:pPr><w:r><w:rPr><w:sz w:val="20"/><w:szCs w:val="20"/></w:rPr><w:t xml:space="preserve">75%</w:t></w:r></w:p></w:tc></w:tr><w:tr><w:tc><w:tcPr><w:tcW w:type="dxa" w:w="2200"/><w:shd w:fill="FFFFFF" w:color="auto" w:val="clear"/></w:tcPr><w:p><w:pPr><w:spacing w:after="60" w:before="60"/><w:jc w:val="left"/></w:pPr><w:r><w:rPr><w:sz w:val="20"/><w:szCs w:val="20"/></w:rPr><w:t xml:space="preserve">Colorectal Cancer</w:t></w:r></w:p></w:tc><w:tc><w:tcPr><w:tcW w:type="dxa" w:w="4000"/><w:shd w:fill="FFFFFF" w:color="auto" w:val="clear"/></w:tcPr><w:p><w:pPr><w:spacing w:after="60" w:before="60"/><w:jc w:val="center"/></w:pPr><w:r><w:rPr><w:sz w:val="20"/><w:szCs w:val="20"/></w:rPr><w:t xml:space="preserve">Age, Family Hx, BMI, Alcohol</w:t></w:r></w:p></w:tc><w:tc><w:tcPr><w:tcW w:type="dxa" w:w="1400"/><w:shd w:fill="FFFFFF" w:color="auto" w:val="clear"/></w:tcPr><w:p><w:pPr><w:spacing w:after="60" w:before="60"/><w:jc w:val="center"/></w:pPr><w:r><w:rPr><w:sz w:val="20"/><w:szCs w:val="20"/></w:rPr><w:t xml:space="preserve">50%</w:t></w:r></w:p></w:tc></w:tr><w:tr><w:tc><w:tcPr><w:tcW w:type="dxa" w:w="2200"/><w:shd w:fill="F2F2F2" w:color="auto" w:val="clear"/></w:tcPr><w:p><w:pPr><w:spacing w:after="60" w:before="60"/><w:jc w:val="left"/></w:pPr><w:r><w:rPr><w:sz w:val="20"/><w:szCs w:val="20"/></w:rPr><w:t xml:space="preserve">Overall</w:t></w:r></w:p></w:tc><w:tc><w:tcPr><w:tcW w:type="dxa" w:w="4000"/><w:shd w:fill="F2F2F2" w:color="auto" w:val="clear"/></w:tcPr><w:p><w:pPr><w:spacing w:after="60" w:before="60"/><w:jc w:val="center"/></w:pPr><w:r><w:rPr><w:sz w:val="20"/><w:szCs w:val="20"/></w:rPr><w:t xml:space="preserve">—</w:t></w:r></w:p></w:tc><w:tc><w:tcPr><w:tcW w:type="dxa" w:w="1400"/><w:shd w:fill="F2F2F2" w:color="auto" w:val="clear"/></w:tcPr><w:p><w:pPr><w:spacing w:after="60" w:before="60"/><w:jc w:val="center"/></w:pPr><w:r><w:rPr><w:sz w:val="20"/><w:szCs w:val="20"/></w:rPr><w:t xml:space="preserve">72.4%</w:t></w:r></w:p></w:tc></w:tr></w:tbl><w:p><w:pPr><w:spacing w:after="200" w:before="0"/></w:pPr><w:r><w:rPr><w:sz w:val="22"/><w:szCs w:val="22"/></w:rPr><w:t xml:space="preserve"/></w:r></w:p><w:p><w:pPr><w:spacing w:after="120" w:before="80" w:line="276" w:lineRule="auto"/><w:ind/><w:jc w:val="both"/></w:pPr><w:r><w:rPr><w:b w:val="false"/><w:bCs w:val="false"/><w:i w:val="false"/><w:iCs w:val="false"/><w:color w:val="000000"/><w:sz w:val="22"/><w:szCs w:val="22"/></w:rPr><w:t xml:space="preserve">72.4% overall clinical alignment confirms that the synthetic data generator encoded correct clinical relationships — the model learned that HbA1c drives diabetes, creatinine drives CKD, pack-years drive COPD, and waist circumference drives metabolic syndrome. This is a critical validation: if spurious correlations had been introduced by the generator, SHAP would reveal features that have no clinical basis for their respective conditions.</w:t></w:r></w:p><w:p><w:pPr><w:spacing w:after="120" w:before="80" w:line="276" w:lineRule="auto"/><w:ind/><w:jc w:val="both"/></w:pPr><w:r><w:rPr><w:b w:val="false"/><w:bCs w:val="false"/><w:i w:val="false"/><w:iCs w:val="false"/><w:color w:val="000000"/><w:sz w:val="22"/><w:szCs w:val="22"/></w:rPr><w:t xml:space="preserve">CVD Risk achieved 57% alignment. Male sex (SHAP = 0.688) dominates the prediction because the ASCVD Pooled Cohort Equations use sex-stratified coefficients with substantially higher baseline risk for males. While clinically correct, this means the model learns sex as a proxy for the risk equation rather than learning the underlying mechanism. This is documented as a known limitation.</w:t></w:r></w:p><w:p><w:pPr><w:spacing w:after="200" w:before="0"/></w:pPr><w:r><w:rPr><w:sz w:val="22"/><w:szCs w:val="22"/></w:rPr><w:t xml:space="preserve"/></w:r></w:p><w:p><w:pPr><w:pStyle w:val="Heading2"/><w:spacing w:after="150" w:before="300"/><w:rPr><w:b/><w:bCs/><w:color w:val="2E6DA4"/><w:sz w:val="24"/><w:szCs w:val="24"/></w:rPr></w:pPr><w:r><w:t xml:space="preserve">4.6 Fairness Audit</w:t></w:r></w:p><w:p><w:pPr><w:spacing w:after="120" w:before="80" w:line="276" w:lineRule="auto"/><w:ind/><w:jc w:val="both"/></w:pPr><w:r><w:rPr><w:b w:val="false"/><w:bCs w:val="false"/><w:i w:val="false"/><w:iCs w:val="false"/><w:color w:val="000000"/><w:sz w:val="22"/><w:szCs w:val="22"/></w:rPr><w:t xml:space="preserve">Model performance was evaluated separately across demographic subgroups (5 race groups, 2 sexes, 4 age groups) with gaps greater than 5 percentage points flagged for investigation per the project proposal requirement.</w:t></w:r></w:p><w:p><w:pPr><w:spacing w:after="200" w:before="0"/></w:pPr><w:r><w:rPr><w:sz w:val="22"/><w:szCs w:val="22"/></w:rPr><w:t xml:space="preserve"/></w:r></w:p><w:tbl><w:tblPr><w:tblW w:type="dxa" w:w="7600"/><w:tblBorders><w:top w:val="single" w:color="auto" w:sz="4"/><w:left w:val="single" w:color="auto" w:sz="4"/><w:bottom w:val="single" w:color="auto" w:sz="4"/><w:right w:val="single" w:color="auto" w:sz="4"/><w:insideH w:val="single" w:color="auto" w:sz="4"/><w:insideV w:val="single" w:color="auto" w:sz="4"/></w:tblBorders></w:tblPr><w:tblGrid><w:gridCol w:w="2200"/><w:gridCol w:w="1200"/><w:gridCol w:w="3400"/><w:gridCol w:w="800"/></w:tblGrid><w:tr><w:trPr><w:tblHeader/></w:trPr><w:tc><w:tcPr><w:tcW w:type="dxa" w:w="2200"/><w:shd w:fill="1E3A5F" w:color="auto" w:val="clear"/></w:tcPr><w:p><w:pPr><w:spacing w:after="60" w:before="60"/><w:jc w:val="center"/></w:pPr><w:r><w:rPr><w:b/><w:bCs/><w:color w:val="FFFFFF"/><w:sz w:val="20"/><w:szCs w:val="20"/></w:rPr><w:t xml:space="preserve">Flag</w:t></w:r></w:p></w:tc><w:tc><w:tcPr><w:tcW w:type="dxa" w:w="1200"/><w:shd w:fill="1E3A5F" w:color="auto" w:val="clear"/></w:tcPr><w:p><w:pPr><w:spacing w:after="60" w:before="60"/><w:jc w:val="center"/></w:pPr><w:r><w:rPr><w:b/><w:bCs/><w:color w:val="FFFFFF"/><w:sz w:val="20"/><w:szCs w:val="20"/></w:rPr><w:t xml:space="preserve">Gap</w:t></w:r></w:p></w:tc><w:tc><w:tcPr><w:tcW w:type="dxa" w:w="3400"/><w:shd w:fill="1E3A5F" w:color="auto" w:val="clear"/></w:tcPr><w:p><w:pPr><w:spacing w:after="60" w:before="60"/><w:jc w:val="center"/></w:pPr><w:r><w:rPr><w:b/><w:bCs/><w:color w:val="FFFFFF"/><w:sz w:val="20"/><w:szCs w:val="20"/></w:rPr><w:t xml:space="preserve">Clinical Explanation</w:t></w:r></w:p></w:tc><w:tc><w:tcPr><w:tcW w:type="dxa" w:w="800"/><w:shd w:fill="1E3A5F" w:color="auto" w:val="clear"/></w:tcPr><w:p><w:pPr><w:spacing w:after="60" w:before="60"/><w:jc w:val="center"/></w:pPr><w:r><w:rPr><w:b/><w:bCs/><w:color w:val="FFFFFF"/><w:sz w:val="20"/><w:szCs w:val="20"/></w:rPr><w:t xml:space="preserve">Bias?</w:t></w:r></w:p></w:tc></w:tr><w:tr><w:tc><w:tcPr><w:tcW w:type="dxa" w:w="2200"/><w:shd w:fill="FFFFFF" w:color="auto" w:val="clear"/></w:tcPr><w:p><w:pPr><w:spacing w:after="60" w:before="60"/><w:jc w:val="left"/></w:pPr><w:r><w:rPr><w:sz w:val="20"/><w:szCs w:val="20"/></w:rPr><w:t xml:space="preserve">CVD Risk — Sex</w:t></w:r></w:p></w:tc><w:tc><w:tcPr><w:tcW w:type="dxa" w:w="1200"/><w:shd w:fill="FFFFFF" w:color="auto" w:val="clear"/></w:tcPr><w:p><w:pPr><w:spacing w:after="60" w:before="60"/><w:jc w:val="center"/></w:pPr><w:r><w:rPr><w:sz w:val="20"/><w:szCs w:val="20"/></w:rPr><w:t xml:space="preserve">19.8pp</w:t></w:r></w:p></w:tc><w:tc><w:tcPr><w:tcW w:type="dxa" w:w="3400"/><w:shd w:fill="FFFFFF" w:color="auto" w:val="clear"/></w:tcPr><w:p><w:pPr><w:spacing w:after="60" w:before="60"/><w:jc w:val="center"/></w:pPr><w:r><w:rPr><w:sz w:val="20"/><w:szCs w:val="20"/></w:rPr><w:t xml:space="preserve">Sex-stratified ASCVD equations produce different risk profiles by design</w:t></w:r></w:p></w:tc><w:tc><w:tcPr><w:tcW w:type="dxa" w:w="800"/><w:shd w:fill="FFFFFF" w:color="auto" w:val="clear"/></w:tcPr><w:p><w:pPr><w:spacing w:after="60" w:before="60"/><w:jc w:val="center"/></w:pPr><w:r><w:rPr><w:sz w:val="20"/><w:szCs w:val="20"/></w:rPr><w:t xml:space="preserve">No — clinically expected</w:t></w:r></w:p></w:tc></w:tr><w:tr><w:tc><w:tcPr><w:tcW w:type="dxa" w:w="2200"/><w:shd w:fill="F2F2F2" w:color="auto" w:val="clear"/></w:tcPr><w:p><w:pPr><w:spacing w:after="60" w:before="60"/><w:jc w:val="left"/></w:pPr><w:r><w:rPr><w:sz w:val="20"/><w:szCs w:val="20"/></w:rPr><w:t xml:space="preserve">CVD Risk — Age (18-34 vs 65-80)</w:t></w:r></w:p></w:tc><w:tc><w:tcPr><w:tcW w:type="dxa" w:w="1200"/><w:shd w:fill="F2F2F2" w:color="auto" w:val="clear"/></w:tcPr><w:p><w:pPr><w:spacing w:after="60" w:before="60"/><w:jc w:val="center"/></w:pPr><w:r><w:rPr><w:sz w:val="20"/><w:szCs w:val="20"/></w:rPr><w:t xml:space="preserve">13.1pp</w:t></w:r></w:p></w:tc><w:tc><w:tcPr><w:tcW w:type="dxa" w:w="3400"/><w:shd w:fill="F2F2F2" w:color="auto" w:val="clear"/></w:tcPr><w:p><w:pPr><w:spacing w:after="60" w:before="60"/><w:jc w:val="center"/></w:pPr><w:r><w:rPr><w:sz w:val="20"/><w:szCs w:val="20"/></w:rPr><w:t xml:space="preserve">Very low CVD prevalence in young adults reduces signal</w:t></w:r></w:p></w:tc><w:tc><w:tcPr><w:tcW w:type="dxa" w:w="800"/><w:shd w:fill="F2F2F2" w:color="auto" w:val="clear"/></w:tcPr><w:p><w:pPr><w:spacing w:after="60" w:before="60"/><w:jc w:val="center"/></w:pPr><w:r><w:rPr><w:sz w:val="20"/><w:szCs w:val="20"/></w:rPr><w:t xml:space="preserve">No — prevalence effect</w:t></w:r></w:p></w:tc></w:tr><w:tr><w:tc><w:tcPr><w:tcW w:type="dxa" w:w="2200"/><w:shd w:fill="FFFFFF" w:color="auto" w:val="clear"/></w:tcPr><w:p><w:pPr><w:spacing w:after="60" w:before="60"/><w:jc w:val="left"/></w:pPr><w:r><w:rPr><w:sz w:val="20"/><w:szCs w:val="20"/></w:rPr><w:t xml:space="preserve">Colorectal Cancer — Race</w:t></w:r></w:p></w:tc><w:tc><w:tcPr><w:tcW w:type="dxa" w:w="1200"/><w:shd w:fill="FFFFFF" w:color="auto" w:val="clear"/></w:tcPr><w:p><w:pPr><w:spacing w:after="60" w:before="60"/><w:jc w:val="center"/></w:pPr><w:r><w:rPr><w:sz w:val="20"/><w:szCs w:val="20"/></w:rPr><w:t xml:space="preserve">12.8pp</w:t></w:r></w:p></w:tc><w:tc><w:tcPr><w:tcW w:type="dxa" w:w="3400"/><w:shd w:fill="FFFFFF" w:color="auto" w:val="clear"/></w:tcPr><w:p><w:pPr><w:spacing w:after="60" w:before="60"/><w:jc w:val="center"/></w:pPr><w:r><w:rPr><w:sz w:val="20"/><w:szCs w:val="20"/></w:rPr><w:t xml:space="preserve">SEER race-stratified rates embedded in generator create real disparity</w:t></w:r></w:p></w:tc><w:tc><w:tcPr><w:tcW w:type="dxa" w:w="800"/><w:shd w:fill="FFFFFF" w:color="auto" w:val="clear"/></w:tcPr><w:p><w:pPr><w:spacing w:after="60" w:before="60"/><w:jc w:val="center"/></w:pPr><w:r><w:rPr><w:sz w:val="20"/><w:szCs w:val="20"/></w:rPr><w:t xml:space="preserve">No — reflects real epidemiology</w:t></w:r></w:p></w:tc></w:tr><w:tr><w:tc><w:tcPr><w:tcW w:type="dxa" w:w="2200"/><w:shd w:fill="F2F2F2" w:color="auto" w:val="clear"/></w:tcPr><w:p><w:pPr><w:spacing w:after="60" w:before="60"/><w:jc w:val="left"/></w:pPr><w:r><w:rPr><w:sz w:val="20"/><w:szCs w:val="20"/></w:rPr><w:t xml:space="preserve">COPD — Race</w:t></w:r></w:p></w:tc><w:tc><w:tcPr><w:tcW w:type="dxa" w:w="1200"/><w:shd w:fill="F2F2F2" w:color="auto" w:val="clear"/></w:tcPr><w:p><w:pPr><w:spacing w:after="60" w:before="60"/><w:jc w:val="center"/></w:pPr><w:r><w:rPr><w:sz w:val="20"/><w:szCs w:val="20"/></w:rPr><w:t xml:space="preserve">6.9pp</w:t></w:r></w:p></w:tc><w:tc><w:tcPr><w:tcW w:type="dxa" w:w="3400"/><w:shd w:fill="F2F2F2" w:color="auto" w:val="clear"/></w:tcPr><w:p><w:pPr><w:spacing w:after="60" w:before="60"/><w:jc w:val="center"/></w:pPr><w:r><w:rPr><w:sz w:val="20"/><w:szCs w:val="20"/></w:rPr><w:t xml:space="preserve">Smoking patterns vary significantly by race in BRFSS data</w:t></w:r></w:p></w:tc><w:tc><w:tcPr><w:tcW w:type="dxa" w:w="800"/><w:shd w:fill="F2F2F2" w:color="auto" w:val="clear"/></w:tcPr><w:p><w:pPr><w:spacing w:after="60" w:before="60"/><w:jc w:val="center"/></w:pPr><w:r><w:rPr><w:sz w:val="20"/><w:szCs w:val="20"/></w:rPr><w:t xml:space="preserve">No — clinically expected</w:t></w:r></w:p></w:tc></w:tr><w:tr><w:tc><w:tcPr><w:tcW w:type="dxa" w:w="2200"/><w:shd w:fill="FFFFFF" w:color="auto" w:val="clear"/></w:tcPr><w:p><w:pPr><w:spacing w:after="60" w:before="60"/><w:jc w:val="left"/></w:pPr><w:r><w:rPr><w:sz w:val="20"/><w:szCs w:val="20"/></w:rPr><w:t xml:space="preserve">CKD — Age</w:t></w:r></w:p></w:tc><w:tc><w:tcPr><w:tcW w:type="dxa" w:w="1200"/><w:shd w:fill="FFFFFF" w:color="auto" w:val="clear"/></w:tcPr><w:p><w:pPr><w:spacing w:after="60" w:before="60"/><w:jc w:val="center"/></w:pPr><w:r><w:rPr><w:sz w:val="20"/><w:szCs w:val="20"/></w:rPr><w:t xml:space="preserve">6.8pp</w:t></w:r></w:p></w:tc><w:tc><w:tcPr><w:tcW w:type="dxa" w:w="3400"/><w:shd w:fill="FFFFFF" w:color="auto" w:val="clear"/></w:tcPr><w:p><w:pPr><w:spacing w:after="60" w:before="60"/><w:jc w:val="center"/></w:pPr><w:r><w:rPr><w:sz w:val="20"/><w:szCs w:val="20"/></w:rPr><w:t xml:space="preserve">CKD prevalence rises sharply with age — more signal in older patients</w:t></w:r></w:p></w:tc><w:tc><w:tcPr><w:tcW w:type="dxa" w:w="800"/><w:shd w:fill="FFFFFF" w:color="auto" w:val="clear"/></w:tcPr><w:p><w:pPr><w:spacing w:after="60" w:before="60"/><w:jc w:val="center"/></w:pPr><w:r><w:rPr><w:sz w:val="20"/><w:szCs w:val="20"/></w:rPr><w:t xml:space="preserve">No — prevalence effect</w:t></w:r></w:p></w:tc></w:tr><w:tr><w:tc><w:tcPr><w:tcW w:type="dxa" w:w="2200"/><w:shd w:fill="F2F2F2" w:color="auto" w:val="clear"/></w:tcPr><w:p><w:pPr><w:spacing w:after="60" w:before="60"/><w:jc w:val="left"/></w:pPr><w:r><w:rPr><w:sz w:val="20"/><w:szCs w:val="20"/></w:rPr><w:t xml:space="preserve">OSA — Sex</w:t></w:r></w:p></w:tc><w:tc><w:tcPr><w:tcW w:type="dxa" w:w="1200"/><w:shd w:fill="F2F2F2" w:color="auto" w:val="clear"/></w:tcPr><w:p><w:pPr><w:spacing w:after="60" w:before="60"/><w:jc w:val="center"/></w:pPr><w:r><w:rPr><w:sz w:val="20"/><w:szCs w:val="20"/></w:rPr><w:t xml:space="preserve">6.5pp</w:t></w:r></w:p></w:tc><w:tc><w:tcPr><w:tcW w:type="dxa" w:w="3400"/><w:shd w:fill="F2F2F2" w:color="auto" w:val="clear"/></w:tcPr><w:p><w:pPr><w:spacing w:after="60" w:before="60"/><w:jc w:val="center"/></w:pPr><w:r><w:rPr><w:sz w:val="20"/><w:szCs w:val="20"/></w:rPr><w:t xml:space="preserve">Male predominance in OSA reflects STOP-BANG score sex weighting</w:t></w:r></w:p></w:tc><w:tc><w:tcPr><w:tcW w:type="dxa" w:w="800"/><w:shd w:fill="F2F2F2" w:color="auto" w:val="clear"/></w:tcPr><w:p><w:pPr><w:spacing w:after="60" w:before="60"/><w:jc w:val="center"/></w:pPr><w:r><w:rPr><w:sz w:val="20"/><w:szCs w:val="20"/></w:rPr><w:t xml:space="preserve">No — clinically expected</w:t></w:r></w:p></w:tc></w:tr><w:tr><w:tc><w:tcPr><w:tcW w:type="dxa" w:w="2200"/><w:shd w:fill="FFFFFF" w:color="auto" w:val="clear"/></w:tcPr><w:p><w:pPr><w:spacing w:after="60" w:before="60"/><w:jc w:val="left"/></w:pPr><w:r><w:rPr><w:sz w:val="20"/><w:szCs w:val="20"/></w:rPr><w:t xml:space="preserve">COPD — Age</w:t></w:r></w:p></w:tc><w:tc><w:tcPr><w:tcW w:type="dxa" w:w="1200"/><w:shd w:fill="FFFFFF" w:color="auto" w:val="clear"/></w:tcPr><w:p><w:pPr><w:spacing w:after="60" w:before="60"/><w:jc w:val="center"/></w:pPr><w:r><w:rPr><w:sz w:val="20"/><w:szCs w:val="20"/></w:rPr><w:t xml:space="preserve">9.7pp</w:t></w:r></w:p></w:tc><w:tc><w:tcPr><w:tcW w:type="dxa" w:w="3400"/><w:shd w:fill="FFFFFF" w:color="auto" w:val="clear"/></w:tcPr><w:p><w:pPr><w:spacing w:after="60" w:before="60"/><w:jc w:val="center"/></w:pPr><w:r><w:rPr><w:sz w:val="20"/><w:szCs w:val="20"/></w:rPr><w:t xml:space="preserve">COPD is rare under 45 — low prevalence reduces AUROC</w:t></w:r></w:p></w:tc><w:tc><w:tcPr><w:tcW w:type="dxa" w:w="800"/><w:shd w:fill="FFFFFF" w:color="auto" w:val="clear"/></w:tcPr><w:p><w:pPr><w:spacing w:after="60" w:before="60"/><w:jc w:val="center"/></w:pPr><w:r><w:rPr><w:sz w:val="20"/><w:szCs w:val="20"/></w:rPr><w:t xml:space="preserve">No — prevalence effect</w:t></w:r></w:p></w:tc></w:tr></w:tbl><w:p><w:pPr><w:spacing w:after="200" w:before="0"/></w:pPr><w:r><w:rPr><w:sz w:val="22"/><w:szCs w:val="22"/></w:rPr><w:t xml:space="preserve"/></w:r></w:p><w:p><w:pPr><w:spacing w:after="120" w:before="80" w:line="276" w:lineRule="auto"/><w:ind/><w:jc w:val="both"/></w:pPr><w:r><w:rPr><w:b w:val="false"/><w:bCs w:val="false"/><w:i w:val="false"/><w:iCs w:val="false"/><w:color w:val="000000"/><w:sz w:val="22"/><w:szCs w:val="22"/></w:rPr><w:t xml:space="preserve">None of the seven flagged gaps represent model bias introduced by the synthetic data generator. Every gap has a clinically justified explanation rooted in real epidemiological patterns: sex-stratified CVD risk models, SEER race-stratified cancer rates, BRFSS regional smoking disparities, and age-dependent disease prevalence. This is an important distinction — the audit confirms that the model is learning real health disparities, not amplifying stereotypes.</w:t></w:r></w:p><w:p><w:r><w:br w:type="page"/></w:r></w:p><w:p><w:pPr><w:pStyle w:val="Heading1"/><w:spacing w:after="200" w:before="400"/><w:rPr><w:b/><w:bCs/><w:color w:val="1E3A5F"/><w:sz w:val="28"/><w:szCs w:val="28"/></w:rPr></w:pPr><w:r><w:t xml:space="preserve">5. AWS Deployment Architecture</w:t></w:r></w:p><w:p><w:pPr><w:pStyle w:val="Heading2"/><w:spacing w:after="150" w:before="300"/><w:rPr><w:b/><w:bCs/><w:color w:val="2E6DA4"/><w:sz w:val="24"/><w:szCs w:val="24"/></w:rPr></w:pPr><w:r><w:t xml:space="preserve">5.1 System Architecture</w:t></w:r></w:p><w:p><w:pPr><w:spacing w:after="120" w:before="80" w:line="276" w:lineRule="auto"/><w:ind/><w:jc w:val="both"/></w:pPr><w:r><w:rPr><w:b w:val="false"/><w:bCs w:val="false"/><w:i w:val="false"/><w:iCs w:val="false"/><w:color w:val="000000"/><w:sz w:val="22"/><w:szCs w:val="22"/></w:rPr><w:t xml:space="preserve">The GoEMed Health SLM is deployed as a containerized REST API on Amazon Web Services using a production-grade architecture designed for scalability, observability, and automated deployment.</w:t></w:r></w:p><w:p><w:pPr><w:spacing w:after="200" w:before="0"/></w:pPr><w:r><w:rPr><w:sz w:val="22"/><w:szCs w:val="22"/></w:rPr><w:t xml:space="preserve"/></w:r></w:p><w:tbl><w:tblPr><w:tblW w:type="dxa" w:w="7600"/><w:tblBorders><w:top w:val="single" w:color="auto" w:sz="4"/><w:left w:val="single" w:color="auto" w:sz="4"/><w:bottom w:val="single" w:color="auto" w:sz="4"/><w:right w:val="single" w:color="auto" w:sz="4"/><w:insideH w:val="single" w:color="auto" w:sz="4"/><w:insideV w:val="single" w:color="auto" w:sz="4"/></w:tblBorders></w:tblPr><w:tblGrid><w:gridCol w:w="2400"/><w:gridCol w:w="2400"/><w:gridCol w:w="2800"/></w:tblGrid><w:tr><w:trPr><w:tblHeader/></w:trPr><w:tc><w:tcPr><w:tcW w:type="dxa" w:w="2400"/><w:shd w:fill="1E3A5F" w:color="auto" w:val="clear"/></w:tcPr><w:p><w:pPr><w:spacing w:after="60" w:before="60"/><w:jc w:val="center"/></w:pPr><w:r><w:rPr><w:b/><w:bCs/><w:color w:val="FFFFFF"/><w:sz w:val="20"/><w:szCs w:val="20"/></w:rPr><w:t xml:space="preserve">AWS Service</w:t></w:r></w:p></w:tc><w:tc><w:tcPr><w:tcW w:type="dxa" w:w="2400"/><w:shd w:fill="1E3A5F" w:color="auto" w:val="clear"/></w:tcPr><w:p><w:pPr><w:spacing w:after="60" w:before="60"/><w:jc w:val="center"/></w:pPr><w:r><w:rPr><w:b/><w:bCs/><w:color w:val="FFFFFF"/><w:sz w:val="20"/><w:szCs w:val="20"/></w:rPr><w:t xml:space="preserve">Purpose</w:t></w:r></w:p></w:tc><w:tc><w:tcPr><w:tcW w:type="dxa" w:w="2800"/><w:shd w:fill="1E3A5F" w:color="auto" w:val="clear"/></w:tcPr><w:p><w:pPr><w:spacing w:after="60" w:before="60"/><w:jc w:val="center"/></w:pPr><w:r><w:rPr><w:b/><w:bCs/><w:color w:val="FFFFFF"/><w:sz w:val="20"/><w:szCs w:val="20"/></w:rPr><w:t xml:space="preserve">Configuration</w:t></w:r></w:p></w:tc></w:tr><w:tr><w:tc><w:tcPr><w:tcW w:type="dxa" w:w="2400"/><w:shd w:fill="FFFFFF" w:color="auto" w:val="clear"/></w:tcPr><w:p><w:pPr><w:spacing w:after="60" w:before="60"/><w:jc w:val="left"/></w:pPr><w:r><w:rPr><w:sz w:val="20"/><w:szCs w:val="20"/></w:rPr><w:t xml:space="preserve">S3 (goemed-model-artifacts)</w:t></w:r></w:p></w:tc><w:tc><w:tcPr><w:tcW w:type="dxa" w:w="2400"/><w:shd w:fill="FFFFFF" w:color="auto" w:val="clear"/></w:tcPr><w:p><w:pPr><w:spacing w:after="60" w:before="60"/><w:jc w:val="center"/></w:pPr><w:r><w:rPr><w:sz w:val="20"/><w:szCs w:val="20"/></w:rPr><w:t xml:space="preserve">Model weight storage</w:t></w:r></w:p></w:tc><w:tc><w:tcPr><w:tcW w:type="dxa" w:w="2800"/><w:shd w:fill="FFFFFF" w:color="auto" w:val="clear"/></w:tcPr><w:p><w:pPr><w:spacing w:after="60" w:before="60"/><w:jc w:val="center"/></w:pPr><w:r><w:rPr><w:sz w:val="20"/><w:szCs w:val="20"/></w:rPr><w:t xml:space="preserve">413MB Bio_ClinicalBERT weights; versioning enabled</w:t></w:r></w:p></w:tc></w:tr><w:tr><w:tc><w:tcPr><w:tcW w:type="dxa" w:w="2400"/><w:shd w:fill="F2F2F2" w:color="auto" w:val="clear"/></w:tcPr><w:p><w:pPr><w:spacing w:after="60" w:before="60"/><w:jc w:val="left"/></w:pPr><w:r><w:rPr><w:sz w:val="20"/><w:szCs w:val="20"/></w:rPr><w:t xml:space="preserve">S3 (goemed-synthetic-data)</w:t></w:r></w:p></w:tc><w:tc><w:tcPr><w:tcW w:type="dxa" w:w="2400"/><w:shd w:fill="F2F2F2" w:color="auto" w:val="clear"/></w:tcPr><w:p><w:pPr><w:spacing w:after="60" w:before="60"/><w:jc w:val="center"/></w:pPr><w:r><w:rPr><w:sz w:val="20"/><w:szCs w:val="20"/></w:rPr><w:t xml:space="preserve">Dataset storage</w:t></w:r></w:p></w:tc><w:tc><w:tcPr><w:tcW w:type="dxa" w:w="2800"/><w:shd w:fill="F2F2F2" w:color="auto" w:val="clear"/></w:tcPr><w:p><w:pPr><w:spacing w:after="60" w:before="60"/><w:jc w:val="center"/></w:pPr><w:r><w:rPr><w:sz w:val="20"/><w:szCs w:val="20"/></w:rPr><w:t xml:space="preserve">100k synthetic records (Parquet format)</w:t></w:r></w:p></w:tc></w:tr><w:tr><w:tc><w:tcPr><w:tcW w:type="dxa" w:w="2400"/><w:shd w:fill="FFFFFF" w:color="auto" w:val="clear"/></w:tcPr><w:p><w:pPr><w:spacing w:after="60" w:before="60"/><w:jc w:val="left"/></w:pPr><w:r><w:rPr><w:sz w:val="20"/><w:szCs w:val="20"/></w:rPr><w:t xml:space="preserve">ECR (goemed-slm-inference)</w:t></w:r></w:p></w:tc><w:tc><w:tcPr><w:tcW w:type="dxa" w:w="2400"/><w:shd w:fill="FFFFFF" w:color="auto" w:val="clear"/></w:tcPr><w:p><w:pPr><w:spacing w:after="60" w:before="60"/><w:jc w:val="center"/></w:pPr><w:r><w:rPr><w:sz w:val="20"/><w:szCs w:val="20"/></w:rPr><w:t xml:space="preserve">Container registry</w:t></w:r></w:p></w:tc><w:tc><w:tcPr><w:tcW w:type="dxa" w:w="2800"/><w:shd w:fill="FFFFFF" w:color="auto" w:val="clear"/></w:tcPr><w:p><w:pPr><w:spacing w:after="60" w:before="60"/><w:jc w:val="center"/></w:pPr><w:r><w:rPr><w:sz w:val="20"/><w:szCs w:val="20"/></w:rPr><w:t xml:space="preserve">AMD64 Docker image; tagged with git commit SHA</w:t></w:r></w:p></w:tc></w:tr><w:tr><w:tc><w:tcPr><w:tcW w:type="dxa" w:w="2400"/><w:shd w:fill="F2F2F2" w:color="auto" w:val="clear"/></w:tcPr><w:p><w:pPr><w:spacing w:after="60" w:before="60"/><w:jc w:val="left"/></w:pPr><w:r><w:rPr><w:sz w:val="20"/><w:szCs w:val="20"/></w:rPr><w:t xml:space="preserve">ECS Fargate</w:t></w:r></w:p></w:tc><w:tc><w:tcPr><w:tcW w:type="dxa" w:w="2400"/><w:shd w:fill="F2F2F2" w:color="auto" w:val="clear"/></w:tcPr><w:p><w:pPr><w:spacing w:after="60" w:before="60"/><w:jc w:val="center"/></w:pPr><w:r><w:rPr><w:sz w:val="20"/><w:szCs w:val="20"/></w:rPr><w:t xml:space="preserve">Serverless compute</w:t></w:r></w:p></w:tc><w:tc><w:tcPr><w:tcW w:type="dxa" w:w="2800"/><w:shd w:fill="F2F2F2" w:color="auto" w:val="clear"/></w:tcPr><w:p><w:pPr><w:spacing w:after="60" w:before="60"/><w:jc w:val="center"/></w:pPr><w:r><w:rPr><w:sz w:val="20"/><w:szCs w:val="20"/></w:rPr><w:t xml:space="preserve">0.5 vCPU, 1GB RAM; no EC2 management</w:t></w:r></w:p></w:tc></w:tr><w:tr><w:tc><w:tcPr><w:tcW w:type="dxa" w:w="2400"/><w:shd w:fill="FFFFFF" w:color="auto" w:val="clear"/></w:tcPr><w:p><w:pPr><w:spacing w:after="60" w:before="60"/><w:jc w:val="left"/></w:pPr><w:r><w:rPr><w:sz w:val="20"/><w:szCs w:val="20"/></w:rPr><w:t xml:space="preserve">IAM (ecsTaskExecutionRole)</w:t></w:r></w:p></w:tc><w:tc><w:tcPr><w:tcW w:type="dxa" w:w="2400"/><w:shd w:fill="FFFFFF" w:color="auto" w:val="clear"/></w:tcPr><w:p><w:pPr><w:spacing w:after="60" w:before="60"/><w:jc w:val="center"/></w:pPr><w:r><w:rPr><w:sz w:val="20"/><w:szCs w:val="20"/></w:rPr><w:t xml:space="preserve">Permissions</w:t></w:r></w:p></w:tc><w:tc><w:tcPr><w:tcW w:type="dxa" w:w="2800"/><w:shd w:fill="FFFFFF" w:color="auto" w:val="clear"/></w:tcPr><w:p><w:pPr><w:spacing w:after="60" w:before="60"/><w:jc w:val="center"/></w:pPr><w:r><w:rPr><w:sz w:val="20"/><w:szCs w:val="20"/></w:rPr><w:t xml:space="preserve">ECR pull + S3 read + CloudWatch write</w:t></w:r></w:p></w:tc></w:tr><w:tr><w:tc><w:tcPr><w:tcW w:type="dxa" w:w="2400"/><w:shd w:fill="F2F2F2" w:color="auto" w:val="clear"/></w:tcPr><w:p><w:pPr><w:spacing w:after="60" w:before="60"/><w:jc w:val="left"/></w:pPr><w:r><w:rPr><w:sz w:val="20"/><w:szCs w:val="20"/></w:rPr><w:t xml:space="preserve">VPC + Security Groups</w:t></w:r></w:p></w:tc><w:tc><w:tcPr><w:tcW w:type="dxa" w:w="2400"/><w:shd w:fill="F2F2F2" w:color="auto" w:val="clear"/></w:tcPr><w:p><w:pPr><w:spacing w:after="60" w:before="60"/><w:jc w:val="center"/></w:pPr><w:r><w:rPr><w:sz w:val="20"/><w:szCs w:val="20"/></w:rPr><w:t xml:space="preserve">Network isolation</w:t></w:r></w:p></w:tc><w:tc><w:tcPr><w:tcW w:type="dxa" w:w="2800"/><w:shd w:fill="F2F2F2" w:color="auto" w:val="clear"/></w:tcPr><w:p><w:pPr><w:spacing w:after="60" w:before="60"/><w:jc w:val="center"/></w:pPr><w:r><w:rPr><w:sz w:val="20"/><w:szCs w:val="20"/></w:rPr><w:t xml:space="preserve">Port 8000 inbound; egress unrestricted</w:t></w:r></w:p></w:tc></w:tr><w:tr><w:tc><w:tcPr><w:tcW w:type="dxa" w:w="2400"/><w:shd w:fill="FFFFFF" w:color="auto" w:val="clear"/></w:tcPr><w:p><w:pPr><w:spacing w:after="60" w:before="60"/><w:jc w:val="left"/></w:pPr><w:r><w:rPr><w:sz w:val="20"/><w:szCs w:val="20"/></w:rPr><w:t xml:space="preserve">CloudWatch</w:t></w:r></w:p></w:tc><w:tc><w:tcPr><w:tcW w:type="dxa" w:w="2400"/><w:shd w:fill="FFFFFF" w:color="auto" w:val="clear"/></w:tcPr><w:p><w:pPr><w:spacing w:after="60" w:before="60"/><w:jc w:val="center"/></w:pPr><w:r><w:rPr><w:sz w:val="20"/><w:szCs w:val="20"/></w:rPr><w:t xml:space="preserve">Observability</w:t></w:r></w:p></w:tc><w:tc><w:tcPr><w:tcW w:type="dxa" w:w="2800"/><w:shd w:fill="FFFFFF" w:color="auto" w:val="clear"/></w:tcPr><w:p><w:pPr><w:spacing w:after="60" w:before="60"/><w:jc w:val="center"/></w:pPr><w:r><w:rPr><w:sz w:val="20"/><w:szCs w:val="20"/></w:rPr><w:t xml:space="preserve">Container logs + CPU/memory dashboard</w:t></w:r></w:p></w:tc></w:tr><w:tr><w:tc><w:tcPr><w:tcW w:type="dxa" w:w="2400"/><w:shd w:fill="F2F2F2" w:color="auto" w:val="clear"/></w:tcPr><w:p><w:pPr><w:spacing w:after="60" w:before="60"/><w:jc w:val="left"/></w:pPr><w:r><w:rPr><w:sz w:val="20"/><w:szCs w:val="20"/></w:rPr><w:t xml:space="preserve">GitHub Actions</w:t></w:r></w:p></w:tc><w:tc><w:tcPr><w:tcW w:type="dxa" w:w="2400"/><w:shd w:fill="F2F2F2" w:color="auto" w:val="clear"/></w:tcPr><w:p><w:pPr><w:spacing w:after="60" w:before="60"/><w:jc w:val="center"/></w:pPr><w:r><w:rPr><w:sz w:val="20"/><w:szCs w:val="20"/></w:rPr><w:t xml:space="preserve">CI/CD</w:t></w:r></w:p></w:tc><w:tc><w:tcPr><w:tcW w:type="dxa" w:w="2800"/><w:shd w:fill="F2F2F2" w:color="auto" w:val="clear"/></w:tcPr><w:p><w:pPr><w:spacing w:after="60" w:before="60"/><w:jc w:val="center"/></w:pPr><w:r><w:rPr><w:sz w:val="20"/><w:szCs w:val="20"/></w:rPr><w:t xml:space="preserve">Auto-deploy on push to main branch</w:t></w:r></w:p></w:tc></w:tr></w:tbl><w:p><w:pPr><w:spacing w:after="200" w:before="0"/></w:pPr><w:r><w:rPr><w:sz w:val="22"/><w:szCs w:val="22"/></w:rPr><w:t xml:space="preserve"/></w:r></w:p><w:p><w:pPr><w:pStyle w:val="Heading2"/><w:spacing w:after="150" w:before="300"/><w:rPr><w:b/><w:bCs/><w:color w:val="2E6DA4"/><w:sz w:val="24"/><w:szCs w:val="24"/></w:rPr></w:pPr><w:r><w:t xml:space="preserve">5.2 Inference API</w:t></w:r></w:p><w:p><w:pPr><w:spacing w:after="120" w:before="80" w:line="276" w:lineRule="auto"/><w:ind/><w:jc w:val="both"/></w:pPr><w:r><w:rPr><w:b w:val="false"/><w:bCs w:val="false"/><w:i w:val="false"/><w:iCs w:val="false"/><w:color w:val="000000"/><w:sz w:val="22"/><w:szCs w:val="22"/></w:rPr><w:t xml:space="preserve">The FastAPI inference endpoint accepts a structured patient profile as JSON and returns probability scores for all 11 condition labels with risk level classifications (low/moderate/high). Key endpoints:</w:t></w:r></w:p><w:p><w:pPr><w:pStyle w:val="ListParagraph"/><w:numPr><w:ilvl w:val="0"/><w:numId w:val="1"/></w:numPr><w:spacing w:after="60" w:before="60"/><w:ind w:left="720" w:hanging="360"/></w:pPr><w:r><w:rPr><w:sz w:val="22"/><w:szCs w:val="22"/></w:rPr><w:t xml:space="preserve">POST /predict — patient JSON → 11 condition probabilities + risk summary + top risk factors</w:t></w:r></w:p><w:p><w:pPr><w:pStyle w:val="ListParagraph"/><w:numPr><w:ilvl w:val="0"/><w:numId w:val="1"/></w:numPr><w:spacing w:after="60" w:before="60"/><w:ind w:left="720" w:hanging="360"/></w:pPr><w:r><w:rPr><w:sz w:val="22"/><w:szCs w:val="22"/></w:rPr><w:t xml:space="preserve">GET /health — ALB health check, returns {status: healthy, model_version: bio-clinicalbert-goemed-v1}</w:t></w:r></w:p><w:p><w:pPr><w:pStyle w:val="ListParagraph"/><w:numPr><w:ilvl w:val="0"/><w:numId w:val="1"/></w:numPr><w:spacing w:after="60" w:before="60"/><w:ind w:left="720" w:hanging="360"/></w:pPr><w:r><w:rPr><w:sz w:val="22"/><w:szCs w:val="22"/></w:rPr><w:t xml:space="preserve">GET /labels — lists all supported condition labels with display names</w:t></w:r></w:p><w:p><w:pPr><w:pStyle w:val="ListParagraph"/><w:numPr><w:ilvl w:val="0"/><w:numId w:val="1"/></w:numPr><w:spacing w:after="60" w:before="60"/><w:ind w:left="720" w:hanging="360"/></w:pPr><w:r><w:rPr><w:sz w:val="22"/><w:szCs w:val="22"/></w:rPr><w:t xml:space="preserve">GET /version — model version, base model, number of labels, macro AUROC</w:t></w:r></w:p><w:p><w:pPr><w:spacing w:after="200" w:before="0"/></w:pPr><w:r><w:rPr><w:sz w:val="22"/><w:szCs w:val="22"/></w:rPr><w:t xml:space="preserve"/></w:r></w:p><w:p><w:pPr><w:spacing w:after="120" w:before="80" w:line="276" w:lineRule="auto"/><w:ind/><w:jc w:val="both"/></w:pPr><w:r><w:rPr><w:b w:val="false"/><w:bCs w:val="false"/><w:i w:val="false"/><w:iCs w:val="false"/><w:color w:val="000000"/><w:sz w:val="22"/><w:szCs w:val="22"/></w:rPr><w:t xml:space="preserve">On container startup, the model weights are downloaded from S3 to /app/model/ inside the container. Inference time is 690ms on the 0.5 vCPU Fargate task — suitable for prototype and demo load. The endpoint is live at http://52.91.134.254:8000.</w:t></w:r></w:p><w:p><w:pPr><w:spacing w:after="200" w:before="0"/></w:pPr><w:r><w:rPr><w:sz w:val="22"/><w:szCs w:val="22"/></w:rPr><w:t xml:space="preserve"/></w:r></w:p><w:p><w:pPr><w:pStyle w:val="Heading2"/><w:spacing w:after="150" w:before="300"/><w:rPr><w:b/><w:bCs/><w:color w:val="2E6DA4"/><w:sz w:val="24"/><w:szCs w:val="24"/></w:rPr></w:pPr><w:r><w:t xml:space="preserve">5.3 CI/CD Pipeline</w:t></w:r></w:p><w:p><w:pPr><w:spacing w:after="120" w:before="80" w:line="276" w:lineRule="auto"/><w:ind/><w:jc w:val="both"/></w:pPr><w:r><w:rPr><w:b w:val="false"/><w:bCs w:val="false"/><w:i w:val="false"/><w:iCs w:val="false"/><w:color w:val="000000"/><w:sz w:val="22"/><w:szCs w:val="22"/></w:rPr><w:t xml:space="preserve">A GitHub Actions workflow (.github/workflows/deploy.yml) automatically deploys new model versions on every push to the main branch. The pipeline: (1) builds a linux/amd64 Docker image using docker buildx; (2) pushes to ECR tagged with the git commit SHA; (3) forces a new ECS deployment; (4) waits for service stability confirmation. The pipeline completed successfully in 4 minutes 10 seconds on its first run.</w:t></w:r></w:p><w:p><w:pPr><w:spacing w:after="200" w:before="0"/></w:pPr><w:r><w:rPr><w:sz w:val="22"/><w:szCs w:val="22"/></w:rPr><w:t xml:space="preserve"/></w:r></w:p><w:p><w:pPr><w:pStyle w:val="Heading2"/><w:spacing w:after="150" w:before="300"/><w:rPr><w:b/><w:bCs/><w:color w:val="2E6DA4"/><w:sz w:val="24"/><w:szCs w:val="24"/></w:rPr></w:pPr><w:r><w:t xml:space="preserve">5.4 Cost Analysis</w:t></w:r></w:p><w:tbl><w:tblPr><w:tblW w:type="dxa" w:w="7600"/><w:tblBorders><w:top w:val="single" w:color="auto" w:sz="4"/><w:left w:val="single" w:color="auto" w:sz="4"/><w:bottom w:val="single" w:color="auto" w:sz="4"/><w:right w:val="single" w:color="auto" w:sz="4"/><w:insideH w:val="single" w:color="auto" w:sz="4"/><w:insideV w:val="single" w:color="auto" w:sz="4"/></w:tblBorders></w:tblPr><w:tblGrid><w:gridCol w:w="2800"/><w:gridCol w:w="1800"/><w:gridCol w:w="3000"/></w:tblGrid><w:tr><w:trPr><w:tblHeader/></w:trPr><w:tc><w:tcPr><w:tcW w:type="dxa" w:w="2800"/><w:shd w:fill="1E3A5F" w:color="auto" w:val="clear"/></w:tcPr><w:p><w:pPr><w:spacing w:after="60" w:before="60"/><w:jc w:val="center"/></w:pPr><w:r><w:rPr><w:b/><w:bCs/><w:color w:val="FFFFFF"/><w:sz w:val="20"/><w:szCs w:val="20"/></w:rPr><w:t xml:space="preserve">Service</w:t></w:r></w:p></w:tc><w:tc><w:tcPr><w:tcW w:type="dxa" w:w="1800"/><w:shd w:fill="1E3A5F" w:color="auto" w:val="clear"/></w:tcPr><w:p><w:pPr><w:spacing w:after="60" w:before="60"/><w:jc w:val="center"/></w:pPr><w:r><w:rPr><w:b/><w:bCs/><w:color w:val="FFFFFF"/><w:sz w:val="20"/><w:szCs w:val="20"/></w:rPr><w:t xml:space="preserve">Monthly Cost</w:t></w:r></w:p></w:tc><w:tc><w:tcPr><w:tcW w:type="dxa" w:w="3000"/><w:shd w:fill="1E3A5F" w:color="auto" w:val="clear"/></w:tcPr><w:p><w:pPr><w:spacing w:after="60" w:before="60"/><w:jc w:val="center"/></w:pPr><w:r><w:rPr><w:b/><w:bCs/><w:color w:val="FFFFFF"/><w:sz w:val="20"/><w:szCs w:val="20"/></w:rPr><w:t xml:space="preserve">Notes</w:t></w:r></w:p></w:tc></w:tr><w:tr><w:tc><w:tcPr><w:tcW w:type="dxa" w:w="2800"/><w:shd w:fill="FFFFFF" w:color="auto" w:val="clear"/></w:tcPr><w:p><w:pPr><w:spacing w:after="60" w:before="60"/><w:jc w:val="left"/></w:pPr><w:r><w:rPr><w:sz w:val="20"/><w:szCs w:val="20"/></w:rPr><w:t xml:space="preserve">ECS Fargate (0.5 vCPU, 1GB)</w:t></w:r></w:p></w:tc><w:tc><w:tcPr><w:tcW w:type="dxa" w:w="1800"/><w:shd w:fill="FFFFFF" w:color="auto" w:val="clear"/></w:tcPr><w:p><w:pPr><w:spacing w:after="60" w:before="60"/><w:jc w:val="center"/></w:pPr><w:r><w:rPr><w:sz w:val="20"/><w:szCs w:val="20"/></w:rPr><w:t xml:space="preserve">~$15</w:t></w:r></w:p></w:tc><w:tc><w:tcPr><w:tcW w:type="dxa" w:w="3000"/><w:shd w:fill="FFFFFF" w:color="auto" w:val="clear"/></w:tcPr><w:p><w:pPr><w:spacing w:after="60" w:before="60"/><w:jc w:val="center"/></w:pPr><w:r><w:rPr><w:sz w:val="20"/><w:szCs w:val="20"/></w:rPr><w:t xml:space="preserve">Scale to 0 when not in use</w:t></w:r></w:p></w:tc></w:tr><w:tr><w:tc><w:tcPr><w:tcW w:type="dxa" w:w="2800"/><w:shd w:fill="F2F2F2" w:color="auto" w:val="clear"/></w:tcPr><w:p><w:pPr><w:spacing w:after="60" w:before="60"/><w:jc w:val="left"/></w:pPr><w:r><w:rPr><w:sz w:val="20"/><w:szCs w:val="20"/></w:rPr><w:t xml:space="preserve">S3 storage</w:t></w:r></w:p></w:tc><w:tc><w:tcPr><w:tcW w:type="dxa" w:w="1800"/><w:shd w:fill="F2F2F2" w:color="auto" w:val="clear"/></w:tcPr><w:p><w:pPr><w:spacing w:after="60" w:before="60"/><w:jc w:val="center"/></w:pPr><w:r><w:rPr><w:sz w:val="20"/><w:szCs w:val="20"/></w:rPr><w:t xml:space="preserve">~$2</w:t></w:r></w:p></w:tc><w:tc><w:tcPr><w:tcW w:type="dxa" w:w="3000"/><w:shd w:fill="F2F2F2" w:color="auto" w:val="clear"/></w:tcPr><w:p><w:pPr><w:spacing w:after="60" w:before="60"/><w:jc w:val="center"/></w:pPr><w:r><w:rPr><w:sz w:val="20"/><w:szCs w:val="20"/></w:rPr><w:t xml:space="preserve">Model + dataset</w:t></w:r></w:p></w:tc></w:tr><w:tr><w:tc><w:tcPr><w:tcW w:type="dxa" w:w="2800"/><w:shd w:fill="FFFFFF" w:color="auto" w:val="clear"/></w:tcPr><w:p><w:pPr><w:spacing w:after="60" w:before="60"/><w:jc w:val="left"/></w:pPr><w:r><w:rPr><w:sz w:val="20"/><w:szCs w:val="20"/></w:rPr><w:t xml:space="preserve">ECR image storage</w:t></w:r></w:p></w:tc><w:tc><w:tcPr><w:tcW w:type="dxa" w:w="1800"/><w:shd w:fill="FFFFFF" w:color="auto" w:val="clear"/></w:tcPr><w:p><w:pPr><w:spacing w:after="60" w:before="60"/><w:jc w:val="center"/></w:pPr><w:r><w:rPr><w:sz w:val="20"/><w:szCs w:val="20"/></w:rPr><w:t xml:space="preserve">~$1</w:t></w:r></w:p></w:tc><w:tc><w:tcPr><w:tcW w:type="dxa" w:w="3000"/><w:shd w:fill="FFFFFF" w:color="auto" w:val="clear"/></w:tcPr><w:p><w:pPr><w:spacing w:after="60" w:before="60"/><w:jc w:val="center"/></w:pPr><w:r><w:rPr><w:sz w:val="20"/><w:szCs w:val="20"/></w:rPr><w:t xml:space="preserve">~800MB image</w:t></w:r></w:p></w:tc></w:tr><w:tr><w:tc><w:tcPr><w:tcW w:type="dxa" w:w="2800"/><w:shd w:fill="F2F2F2" w:color="auto" w:val="clear"/></w:tcPr><w:p><w:pPr><w:spacing w:after="60" w:before="60"/><w:jc w:val="left"/></w:pPr><w:r><w:rPr><w:sz w:val="20"/><w:szCs w:val="20"/></w:rPr><w:t xml:space="preserve">CloudWatch</w:t></w:r></w:p></w:tc><w:tc><w:tcPr><w:tcW w:type="dxa" w:w="1800"/><w:shd w:fill="F2F2F2" w:color="auto" w:val="clear"/></w:tcPr><w:p><w:pPr><w:spacing w:after="60" w:before="60"/><w:jc w:val="center"/></w:pPr><w:r><w:rPr><w:sz w:val="20"/><w:szCs w:val="20"/></w:rPr><w:t xml:space="preserve">~$2</w:t></w:r></w:p></w:tc><w:tc><w:tcPr><w:tcW w:type="dxa" w:w="3000"/><w:shd w:fill="F2F2F2" w:color="auto" w:val="clear"/></w:tcPr><w:p><w:pPr><w:spacing w:after="60" w:before="60"/><w:jc w:val="center"/></w:pPr><w:r><w:rPr><w:sz w:val="20"/><w:szCs w:val="20"/></w:rPr><w:t xml:space="preserve">Logs + dashboard</w:t></w:r></w:p></w:tc></w:tr><w:tr><w:tc><w:tcPr><w:tcW w:type="dxa" w:w="2800"/><w:shd w:fill="FFFFFF" w:color="auto" w:val="clear"/></w:tcPr><w:p><w:pPr><w:spacing w:after="60" w:before="60"/><w:jc w:val="left"/></w:pPr><w:r><w:rPr><w:sz w:val="20"/><w:szCs w:val="20"/></w:rPr><w:t xml:space="preserve">Total (active)</w:t></w:r></w:p></w:tc><w:tc><w:tcPr><w:tcW w:type="dxa" w:w="1800"/><w:shd w:fill="FFFFFF" w:color="auto" w:val="clear"/></w:tcPr><w:p><w:pPr><w:spacing w:after="60" w:before="60"/><w:jc w:val="center"/></w:pPr><w:r><w:rPr><w:sz w:val="20"/><w:szCs w:val="20"/></w:rPr><w:t xml:space="preserve">~$20/month</w:t></w:r></w:p></w:tc><w:tc><w:tcPr><w:tcW w:type="dxa" w:w="3000"/><w:shd w:fill="FFFFFF" w:color="auto" w:val="clear"/></w:tcPr><w:p><w:pPr><w:spacing w:after="60" w:before="60"/><w:jc w:val="center"/></w:pPr><w:r><w:rPr><w:sz w:val="20"/><w:szCs w:val="20"/></w:rPr><w:t xml:space="preserve">Scale down overnight to ~$5/month</w:t></w:r></w:p></w:tc></w:tr></w:tbl><w:p><w:r><w:br w:type="page"/></w:r></w:p><w:p><w:pPr><w:pStyle w:val="Heading1"/><w:spacing w:after="200" w:before="400"/><w:rPr><w:b/><w:bCs/><w:color w:val="1E3A5F"/><w:sz w:val="28"/><w:szCs w:val="28"/></w:rPr></w:pPr><w:r><w:t xml:space="preserve">6. Ethical Considerations</w:t></w:r></w:p><w:p><w:pPr><w:pStyle w:val="Heading2"/><w:spacing w:after="150" w:before="300"/><w:rPr><w:b/><w:bCs/><w:color w:val="2E6DA4"/><w:sz w:val="24"/><w:szCs w:val="24"/></w:rPr></w:pPr><w:r><w:t xml:space="preserve">6.1 Synthetic Data and Privacy</w:t></w:r></w:p><w:p><w:pPr><w:spacing w:after="120" w:before="80" w:line="276" w:lineRule="auto"/><w:ind/><w:jc w:val="both"/></w:pPr><w:r><w:rPr><w:b w:val="false"/><w:bCs w:val="false"/><w:i w:val="false"/><w:iCs w:val="false"/><w:color w:val="000000"/><w:sz w:val="22"/><w:szCs w:val="22"/></w:rPr><w:t xml:space="preserve">All patient records used in model training are entirely synthetic — generated from statistical distributions fitted to NHANES aggregate data, not derived from or linkable to any real individual. No HIPAA-protected health information was used in model training. The synthetic data generation approach is specifically designed to provide the statistical fidelity required for model training without the privacy risks of real patient data.</w:t></w:r></w:p><w:p><w:pPr><w:spacing w:after="200" w:before="0"/></w:pPr><w:r><w:rPr><w:sz w:val="22"/><w:szCs w:val="22"/></w:rPr><w:t xml:space="preserve"/></w:r></w:p><w:p><w:pPr><w:pStyle w:val="Heading2"/><w:spacing w:after="150" w:before="300"/><w:rPr><w:b/><w:bCs/><w:color w:val="2E6DA4"/><w:sz w:val="24"/><w:szCs w:val="24"/></w:rPr></w:pPr><w:r><w:t xml:space="preserve">6.2 Race-Aware Risk Models</w:t></w:r></w:p><w:p><w:pPr><w:spacing w:after="120" w:before="80" w:line="276" w:lineRule="auto"/><w:ind/><w:jc w:val="both"/></w:pPr><w:r><w:rPr><w:b w:val="false"/><w:bCs w:val="false"/><w:i w:val="false"/><w:iCs w:val="false"/><w:color w:val="000000"/><w:sz w:val="22"/><w:szCs w:val="22"/></w:rPr><w:t xml:space="preserve">The ACC/AHA ASCVD Pooled Cohort Equations include race as a stratification variable, with separate coefficient sets for White and Black patients. This design reflects the different cardiovascular risk profiles documented in the clinical literature but also raises ethical concerns about race-based clinical decision support.</w:t></w:r></w:p><w:p><w:pPr><w:spacing w:after="120" w:before="80" w:line="276" w:lineRule="auto"/><w:ind/><w:jc w:val="both"/></w:pPr><w:r><w:rPr><w:b w:val="false"/><w:bCs w:val="false"/><w:i w:val="false"/><w:iCs w:val="false"/><w:color w:val="000000"/><w:sz w:val="22"/><w:szCs w:val="22"/></w:rPr><w:t xml:space="preserve">In 2021, a joint ASN/NKF task force recommended removing race from the CKD-EPI eGFR equation, and this project uses the 2021 race-free CKD-EPI formulation throughout. For the ASCVD equation, the race stratification is retained because the published evidence base uses this design; however, the model is not intended as a clinical diagnostic tool, and any production deployment at GoEMed should clearly communicate this limitation.</w:t></w:r></w:p><w:p><w:pPr><w:spacing w:after="120" w:before="80" w:line="276" w:lineRule="auto"/><w:ind/><w:jc w:val="both"/></w:pPr><w:r><w:rPr><w:b w:val="false"/><w:bCs w:val="false"/><w:i w:val="false"/><w:iCs w:val="false"/><w:color w:val="000000"/><w:sz w:val="22"/><w:szCs w:val="22"/></w:rPr><w:t xml:space="preserve">The fairness audit results confirm that the model does not introduce additional race-based bias beyond what is inherent in the clinical risk models themselves — all race-related performance gaps are attributable to real epidemiological patterns captured in NHANES and SEER data.</w:t></w:r></w:p><w:p><w:pPr><w:spacing w:after="200" w:before="0"/></w:pPr><w:r><w:rPr><w:sz w:val="22"/><w:szCs w:val="22"/></w:rPr><w:t xml:space="preserve"/></w:r></w:p><w:p><w:pPr><w:pStyle w:val="Heading2"/><w:spacing w:after="150" w:before="300"/><w:rPr><w:b/><w:bCs/><w:color w:val="2E6DA4"/><w:sz w:val="24"/><w:szCs w:val="24"/></w:rPr></w:pPr><w:r><w:t xml:space="preserve">6.3 Clinical Disclaimer</w:t></w:r></w:p><w:p><w:pPr><w:spacing w:after="120" w:before="80" w:line="276" w:lineRule="auto"/><w:ind/><w:jc w:val="both"/></w:pPr><w:r><w:rPr><w:b w:val="false"/><w:bCs w:val="false"/><w:i w:val="false"/><w:iCs w:val="false"/><w:color w:val="000000"/><w:sz w:val="22"/><w:szCs w:val="22"/></w:rPr><w:t xml:space="preserve">The GoEMed Health SLM is a risk signal tool for informational and marketplace recommendation purposes only. It is not a clinical diagnostic instrument and should not be used to make clinical decisions. All API responses include the disclaimer: 'This is a risk signal for informational purposes only. It is not a clinical diagnosis. Always consult a qualified healthcare provider.'</w:t></w:r></w:p><w:p><w:pPr><w:spacing w:after="200" w:before="0"/></w:pPr><w:r><w:rPr><w:sz w:val="22"/><w:szCs w:val="22"/></w:rPr><w:t xml:space="preserve"/></w:r></w:p><w:p><w:pPr><w:pStyle w:val="Heading2"/><w:spacing w:after="150" w:before="300"/><w:rPr><w:b/><w:bCs/><w:color w:val="2E6DA4"/><w:sz w:val="24"/><w:szCs w:val="24"/></w:rPr></w:pPr><w:r><w:t xml:space="preserve">6.4 Data Stewardship</w:t></w:r></w:p><w:p><w:pPr><w:spacing w:after="120" w:before="80" w:line="276" w:lineRule="auto"/><w:ind/><w:jc w:val="both"/></w:pPr><w:r><w:rPr><w:b w:val="false"/><w:bCs w:val="false"/><w:i w:val="false"/><w:iCs w:val="false"/><w:color w:val="000000"/><w:sz w:val="22"/><w:szCs w:val="22"/></w:rPr><w:t xml:space="preserve">Raw NHANES data files are tracked via DVC (Data Version Control) and excluded from the GitHub repository via .gitignore. The 413MB trained model weights are stored in S3 with versioning enabled and not committed to version control. No synthetic patient records are committed to the repository — only the generator code and validation reports.</w:t></w:r></w:p><w:p><w:r><w:br w:type="page"/></w:r></w:p><w:p><w:pPr><w:pStyle w:val="Heading1"/><w:spacing w:after="200" w:before="400"/><w:rPr><w:b/><w:bCs/><w:color w:val="1E3A5F"/><w:sz w:val="28"/><w:szCs w:val="28"/></w:rPr></w:pPr><w:r><w:t xml:space="preserve">7. Recommendations for GoEMed</w:t></w:r></w:p><w:p><w:pPr><w:pStyle w:val="Heading2"/><w:spacing w:after="150" w:before="300"/><w:rPr><w:b/><w:bCs/><w:color w:val="2E6DA4"/><w:sz w:val="24"/><w:szCs w:val="24"/></w:rPr></w:pPr><w:r><w:t xml:space="preserve">7.1 Immediate Deployment Recommendations</w:t></w:r></w:p><w:p><w:pPr><w:spacing w:after="120" w:before="80" w:line="276" w:lineRule="auto"/><w:ind/><w:jc w:val="both"/></w:pPr><w:r><w:rPr><w:b w:val="false"/><w:bCs w:val="false"/><w:i w:val="false"/><w:iCs w:val="false"/><w:color w:val="000000"/><w:sz w:val="22"/><w:szCs w:val="22"/></w:rPr><w:t xml:space="preserve">The current API is suitable for internal demonstration and prototype evaluation. Before production deployment at scale, the following steps are recommended:</w:t></w:r></w:p><w:p><w:pPr><w:pStyle w:val="ListParagraph"/><w:numPr><w:ilvl w:val="0"/><w:numId w:val="1"/></w:numPr><w:spacing w:after="60" w:before="60"/><w:ind w:left="720" w:hanging="360"/></w:pPr><w:r><w:rPr><w:sz w:val="22"/><w:szCs w:val="22"/></w:rPr><w:t xml:space="preserve">Implement the hybrid inference strategy: use XGBoost for hard-threshold conditions (Hypertension, Diabetes, Metabolic Syndrome) and Bio_ClinicalBERT for complex conditions (CVD Risk, Depression, OSA)</w:t></w:r></w:p><w:p><w:pPr><w:pStyle w:val="ListParagraph"/><w:numPr><w:ilvl w:val="0"/><w:numId w:val="1"/></w:numPr><w:spacing w:after="60" w:before="60"/><w:ind w:left="720" w:hanging="360"/></w:pPr><w:r><w:rPr><w:sz w:val="22"/><w:szCs w:val="22"/></w:rPr><w:t xml:space="preserve">Add an Application Load Balancer with HTTPS/TLS termination for secure production access</w:t></w:r></w:p><w:p><w:pPr><w:pStyle w:val="ListParagraph"/><w:numPr><w:ilvl w:val="0"/><w:numId w:val="1"/></w:numPr><w:spacing w:after="60" w:before="60"/><w:ind w:left="720" w:hanging="360"/></w:pPr><w:r><w:rPr><w:sz w:val="22"/><w:szCs w:val="22"/></w:rPr><w:t xml:space="preserve">Configure ECS Auto Scaling to handle traffic spikes (scale up at 70% CPU, scale down at 30%)</w:t></w:r></w:p><w:p><w:pPr><w:pStyle w:val="ListParagraph"/><w:numPr><w:ilvl w:val="0"/><w:numId w:val="1"/></w:numPr><w:spacing w:after="60" w:before="60"/><w:ind w:left="720" w:hanging="360"/></w:pPr><w:r><w:rPr><w:sz w:val="22"/><w:szCs w:val="22"/></w:rPr><w:t xml:space="preserve">Implement AWS Secrets Manager for any API keys or credentials</w:t></w:r></w:p><w:p><w:pPr><w:pStyle w:val="ListParagraph"/><w:numPr><w:ilvl w:val="0"/><w:numId w:val="1"/></w:numPr><w:spacing w:after="60" w:before="60"/><w:ind w:left="720" w:hanging="360"/></w:pPr><w:r><w:rPr><w:sz w:val="22"/><w:szCs w:val="22"/></w:rPr><w:t xml:space="preserve">Set up CloudWatch alarms for P99 latency &gt; 2 seconds and 5xx error rate &gt; 1%</w:t></w:r></w:p><w:p><w:pPr><w:spacing w:after="200" w:before="0"/></w:pPr><w:r><w:rPr><w:sz w:val="22"/><w:szCs w:val="22"/></w:rPr><w:t xml:space="preserve"/></w:r></w:p><w:p><w:pPr><w:pStyle w:val="Heading2"/><w:spacing w:after="150" w:before="300"/><w:rPr><w:b/><w:bCs/><w:color w:val="2E6DA4"/><w:sz w:val="24"/><w:szCs w:val="24"/></w:rPr></w:pPr><w:r><w:t xml:space="preserve">7.2 GoEMed Product Integration</w:t></w:r></w:p><w:p><w:pPr><w:spacing w:after="120" w:before="80" w:line="276" w:lineRule="auto"/><w:ind/><w:jc w:val="both"/></w:pPr><w:r><w:rPr><w:b w:val="false"/><w:bCs w:val="false"/><w:i w:val="false"/><w:iCs w:val="false"/><w:color w:val="000000"/><w:sz w:val="22"/><w:szCs w:val="22"/></w:rPr><w:t xml:space="preserve">The health risk API can be integrated into the GoEMed marketplace in three ways:</w:t></w:r></w:p><w:p><w:pPr><w:pStyle w:val="ListParagraph"/><w:numPr><w:ilvl w:val="0"/><w:numId w:val="1"/></w:numPr><w:spacing w:after="60" w:before="60"/><w:ind w:left="720" w:hanging="360"/></w:pPr><w:r><w:rPr><w:sz w:val="22"/><w:szCs w:val="22"/></w:rPr><w:t xml:space="preserve">Procedure surfacing: if CVD Risk &gt; 50%, surface cardiac stress test, lipid panel, and echocardiogram pricing from nearby providers</w:t></w:r></w:p><w:p><w:pPr><w:pStyle w:val="ListParagraph"/><w:numPr><w:ilvl w:val="0"/><w:numId w:val="1"/></w:numPr><w:spacing w:after="60" w:before="60"/><w:ind w:left="720" w:hanging="360"/></w:pPr><w:r><w:rPr><w:sz w:val="22"/><w:szCs w:val="22"/></w:rPr><w:t xml:space="preserve">Preventive care nudges: if Prediabetes &gt; 40%, surface HbA1c test ($29), diabetes educator visit ($85), and metformin consultation</w:t></w:r></w:p><w:p><w:pPr><w:pStyle w:val="ListParagraph"/><w:numPr><w:ilvl w:val="0"/><w:numId w:val="1"/></w:numPr><w:spacing w:after="60" w:before="60"/><w:ind w:left="720" w:hanging="360"/></w:pPr><w:r><w:rPr><w:sz w:val="22"/><w:szCs w:val="22"/></w:rPr><w:t xml:space="preserve">Health risk badge: display a simple High/Medium/Low risk summary per condition category on the user's GoEMed profile</w:t></w:r></w:p><w:p><w:pPr><w:spacing w:after="200" w:before="0"/></w:pPr><w:r><w:rPr><w:sz w:val="22"/><w:szCs w:val="22"/></w:rPr><w:t xml:space="preserve"/></w:r></w:p><w:p><w:pPr><w:pStyle w:val="Heading2"/><w:spacing w:after="150" w:before="300"/><w:rPr><w:b/><w:bCs/><w:color w:val="2E6DA4"/><w:sz w:val="24"/><w:szCs w:val="24"/></w:rPr></w:pPr><w:r><w:t xml:space="preserve">7.3 Geographic Health Risk Intelligence (Planned v2)</w:t></w:r></w:p><w:p><w:pPr><w:spacing w:after="120" w:before="80" w:line="276" w:lineRule="auto"/><w:ind/><w:jc w:val="both"/></w:pPr><w:r><w:rPr><w:b w:val="false"/><w:bCs w:val="false"/><w:i w:val="false"/><w:iCs w:val="false"/><w:color w:val="000000"/><w:sz w:val="22"/><w:szCs w:val="22"/></w:rPr><w:t xml:space="preserve">State-specific colorectal cancer multipliers have been computed from SEER 2018-2022 data for all 50 states and are stored in configs/regional_cancer_multipliers.yaml. Full integration — adding geographic region as a patient feature and applying state-specific multipliers to colorectal cancer risk assignment — is planned as a v2 enhancement. Cancer Alley states (Louisiana 1.21x, Mississippi 1.25x, Arkansas 1.15x) show substantially elevated risk that should be surfaced to GoEMed users in those regions.</w:t></w:r></w:p><w:p><w:pPr><w:spacing w:after="120" w:before="80" w:line="276" w:lineRule="auto"/><w:ind/><w:jc w:val="both"/></w:pPr><w:r><w:rPr><w:b w:val="false"/><w:bCs w:val="false"/><w:i w:val="false"/><w:iCs w:val="false"/><w:color w:val="000000"/><w:sz w:val="22"/><w:szCs w:val="22"/></w:rPr><w:t xml:space="preserve">This geographic risk intelligence is a genuine competitive differentiator — no direct-pay healthcare marketplace currently provides location-aware health risk scoring. When a user opens GoEMed in New Orleans, they should see colorectal cancer screening prominently featured given the 21% above-national-average incidence rate in Louisiana.</w:t></w:r></w:p><w:p><w:pPr><w:spacing w:after="200" w:before="0"/></w:pPr><w:r><w:rPr><w:sz w:val="22"/><w:szCs w:val="22"/></w:rPr><w:t xml:space="preserve"/></w:r></w:p><w:p><w:pPr><w:pStyle w:val="Heading2"/><w:spacing w:after="150" w:before="300"/><w:rPr><w:b/><w:bCs/><w:color w:val="2E6DA4"/><w:sz w:val="24"/><w:szCs w:val="24"/></w:rPr></w:pPr><w:r><w:t xml:space="preserve">7.4 Future Research Directions</w:t></w:r></w:p><w:p><w:pPr><w:pStyle w:val="ListParagraph"/><w:numPr><w:ilvl w:val="0"/><w:numId w:val="1"/></w:numPr><w:spacing w:after="60" w:before="60"/><w:ind w:left="720" w:hanging="360"/></w:pPr><w:r><w:rPr><w:sz w:val="22"/><w:szCs w:val="22"/></w:rPr><w:t xml:space="preserve">Iron deficiency anemia and heart failure: download NHANES CBC files (LBXHGB — hemoglobin) and add anemia as a 12th label. Iron deficiency is an independent risk factor for heart failure and is underappreciated in direct-pay healthcare settings</w:t></w:r></w:p><w:p><w:pPr><w:pStyle w:val="ListParagraph"/><w:numPr><w:ilvl w:val="0"/><w:numId w:val="1"/></w:numPr><w:spacing w:after="60" w:before="60"/><w:ind w:left="720" w:hanging="360"/></w:pPr><w:r><w:rPr><w:sz w:val="22"/><w:szCs w:val="22"/></w:rPr><w:t xml:space="preserve">Longitudinal patient modeling: extend the generator to simulate disease progression over time (T2DM → CKD trajectory), enabling GoEMed to recommend condition management services</w:t></w:r></w:p><w:p><w:pPr><w:pStyle w:val="ListParagraph"/><w:numPr><w:ilvl w:val="0"/><w:numId w:val="1"/></w:numPr><w:spacing w:after="60" w:before="60"/><w:ind w:left="720" w:hanging="360"/></w:pPr><w:r><w:rPr><w:sz w:val="22"/><w:szCs w:val="22"/></w:rPr><w:t xml:space="preserve">Real-world validation: when GoEMed accumulates de-identified patient interaction data, validate synthetic data fidelity against real user profiles using the same Hotelling T² and propensity score framework</w:t></w:r></w:p><w:p><w:pPr><w:pStyle w:val="ListParagraph"/><w:numPr><w:ilvl w:val="0"/><w:numId w:val="1"/></w:numPr><w:spacing w:after="60" w:before="60"/><w:ind w:left="720" w:hanging="360"/></w:pPr><w:r><w:rPr><w:sz w:val="22"/><w:szCs w:val="22"/></w:rPr><w:t xml:space="preserve">SLM retraining with expanded labels: retrain Bio_ClinicalBERT with iron/anemia, heart failure, and geographic region features incorporated</w:t></w:r></w:p><w:p><w:r><w:br w:type="page"/></w:r></w:p><w:p><w:pPr><w:pStyle w:val="Heading1"/><w:spacing w:after="200" w:before="400"/><w:rPr><w:b/><w:bCs/><w:color w:val="1E3A5F"/><w:sz w:val="28"/><w:szCs w:val="28"/></w:rPr></w:pPr><w:r><w:t xml:space="preserve">8. Limitations</w:t></w:r></w:p><w:p><w:pPr><w:pStyle w:val="Heading2"/><w:spacing w:after="150" w:before="300"/><w:rPr><w:b/><w:bCs/><w:color w:val="2E6DA4"/><w:sz w:val="24"/><w:szCs w:val="24"/></w:rPr></w:pPr><w:r><w:t xml:space="preserve">8.1 Synthetic Data Limitations</w:t></w:r></w:p><w:p><w:pPr><w:pStyle w:val="ListParagraph"/><w:numPr><w:ilvl w:val="0"/><w:numId w:val="1"/></w:numPr><w:spacing w:after="60" w:before="60"/><w:ind w:left="720" w:hanging="360"/></w:pPr><w:r><w:rPr><w:sz w:val="22"/><w:szCs w:val="22"/></w:rPr><w:t xml:space="preserve">The generator uses marginal distributions and pairwise correlations from NHANES but cannot capture higher-order interactions beyond the correlation matrix. The Gaussian copula assumption of normally distributed dependence structure may not perfectly represent all clinical feature relationships</w:t></w:r></w:p><w:p><w:pPr><w:pStyle w:val="ListParagraph"/><w:numPr><w:ilvl w:val="0"/><w:numId w:val="1"/></w:numPr><w:spacing w:after="60" w:before="60"/><w:ind w:left="720" w:hanging="360"/></w:pPr><w:r><w:rPr><w:sz w:val="22"/><w:szCs w:val="22"/></w:rPr><w:t xml:space="preserve">Fasting glucose mean in synthetic data (104.5 mg/dL) is 5.7% below the NHANES reference (110.8 mg/dL) due to the intentional calibration tradeoff for diabetes label prevalence</w:t></w:r></w:p><w:p><w:pPr><w:pStyle w:val="ListParagraph"/><w:numPr><w:ilvl w:val="0"/><w:numId w:val="1"/></w:numPr><w:spacing w:after="60" w:before="60"/><w:ind w:left="720" w:hanging="360"/></w:pPr><w:r><w:rPr><w:sz w:val="22"/><w:szCs w:val="22"/></w:rPr><w:t xml:space="preserve">The generator does not include longitudinal disease progression — all records represent a single cross-sectional patient snapshot</w:t></w:r></w:p><w:p><w:pPr><w:pStyle w:val="ListParagraph"/><w:numPr><w:ilvl w:val="0"/><w:numId w:val="1"/></w:numPr><w:spacing w:after="60" w:before="60"/><w:ind w:left="720" w:hanging="360"/></w:pPr><w:r><w:rPr><w:sz w:val="22"/><w:szCs w:val="22"/></w:rPr><w:t xml:space="preserve">Mental health conditions (depression, anxiety) are assigned based on demographic proxies rather than validated clinical screening scores due to NHANES data limitations</w:t></w:r></w:p><w:p><w:pPr><w:spacing w:after="200" w:before="0"/></w:pPr><w:r><w:rPr><w:sz w:val="22"/><w:szCs w:val="22"/></w:rPr><w:t xml:space="preserve"/></w:r></w:p><w:p><w:pPr><w:pStyle w:val="Heading2"/><w:spacing w:after="150" w:before="300"/><w:rPr><w:b/><w:bCs/><w:color w:val="2E6DA4"/><w:sz w:val="24"/><w:szCs w:val="24"/></w:rPr></w:pPr><w:r><w:t xml:space="preserve">8.2 Model Limitations</w:t></w:r></w:p><w:p><w:pPr><w:pStyle w:val="ListParagraph"/><w:numPr><w:ilvl w:val="0"/><w:numId w:val="1"/></w:numPr><w:spacing w:after="60" w:before="60"/><w:ind w:left="720" w:hanging="360"/></w:pPr><w:r><w:rPr><w:sz w:val="22"/><w:szCs w:val="22"/></w:rPr><w:t xml:space="preserve">Bio_ClinicalBERT over-predicts hypertension for patients with normal blood pressure due to label prevalence bias (48.1% training prevalence). The hybrid XGBoost/SLM inference strategy is recommended to address this</w:t></w:r></w:p><w:p><w:pPr><w:pStyle w:val="ListParagraph"/><w:numPr><w:ilvl w:val="0"/><w:numId w:val="1"/></w:numPr><w:spacing w:after="60" w:before="60"/><w:ind w:left="720" w:hanging="360"/></w:pPr><w:r><w:rPr><w:sz w:val="22"/><w:szCs w:val="22"/></w:rPr><w:t xml:space="preserve">Token-level SHAP interpretability for the SLM was limited by MPS hardware constraints on Apple Silicon. Gradient-based saliency analysis was used as an alternative, with clinical alignment validated at 72.4%</w:t></w:r></w:p><w:p><w:pPr><w:pStyle w:val="ListParagraph"/><w:numPr><w:ilvl w:val="0"/><w:numId w:val="1"/></w:numPr><w:spacing w:after="60" w:before="60"/><w:ind w:left="720" w:hanging="360"/></w:pPr><w:r><w:rPr><w:sz w:val="22"/><w:szCs w:val="22"/></w:rPr><w:t xml:space="preserve">The model was trained on 20,000 records due to M2 RAM constraints (8GB unified memory). Power analysis confirms this is sufficient for Bio_ClinicalBERT (was evaluated at increasing dataset sizes) but larger datasets would further improve XGBoost baselines</w:t></w:r></w:p><w:p><w:pPr><w:pStyle w:val="ListParagraph"/><w:numPr><w:ilvl w:val="0"/><w:numId w:val="1"/></w:numPr><w:spacing w:after="60" w:before="60"/><w:ind w:left="720" w:hanging="360"/></w:pPr><w:r><w:rPr><w:sz w:val="22"/><w:szCs w:val="22"/></w:rPr><w:t xml:space="preserve">The current deployment uses CPU-only inference on ECS Fargate (690ms/request). Production-scale deployment would benefit from GPU acceleration (AWS EC2 g4dn instances) for higher throughput</w:t></w:r></w:p><w:p><w:pPr><w:spacing w:after="200" w:before="0"/></w:pPr><w:r><w:rPr><w:sz w:val="22"/><w:szCs w:val="22"/></w:rPr><w:t xml:space="preserve"/></w:r></w:p><w:p><w:pPr><w:pStyle w:val="Heading2"/><w:spacing w:after="150" w:before="300"/><w:rPr><w:b/><w:bCs/><w:color w:val="2E6DA4"/><w:sz w:val="24"/><w:szCs w:val="24"/></w:rPr></w:pPr><w:r><w:t xml:space="preserve">8.3 Deployment Limitations</w:t></w:r></w:p><w:p><w:pPr><w:pStyle w:val="ListParagraph"/><w:numPr><w:ilvl w:val="0"/><w:numId w:val="1"/></w:numPr><w:spacing w:after="60" w:before="60"/><w:ind w:left="720" w:hanging="360"/></w:pPr><w:r><w:rPr><w:sz w:val="22"/><w:szCs w:val="22"/></w:rPr><w:t xml:space="preserve">The current ECS endpoint uses HTTP (not HTTPS). Production deployment requires an Application Load Balancer with ACM certificate for TLS termination</w:t></w:r></w:p><w:p><w:pPr><w:pStyle w:val="ListParagraph"/><w:numPr><w:ilvl w:val="0"/><w:numId w:val="1"/></w:numPr><w:spacing w:after="60" w:before="60"/><w:ind w:left="720" w:hanging="360"/></w:pPr><w:r><w:rPr><w:sz w:val="22"/><w:szCs w:val="22"/></w:rPr><w:t xml:space="preserve">No rate limiting or authentication is implemented on the current API endpoint. Production deployment requires API key authentication and request throttling</w:t></w:r></w:p><w:p><w:pPr><w:pStyle w:val="ListParagraph"/><w:numPr><w:ilvl w:val="0"/><w:numId w:val="1"/></w:numPr><w:spacing w:after="60" w:before="60"/><w:ind w:left="720" w:hanging="360"/></w:pPr><w:r><w:rPr><w:sz w:val="22"/><w:szCs w:val="22"/></w:rPr><w:t xml:space="preserve">The public IP address changes each time the ECS task restarts. An ALB with a stable DNS name is required for production use</w:t></w:r></w:p><w:p xmlns:w="http://schemas.openxmlformats.org/wordprocessingml/2006/main"><w:pPr><w:pStyle w:val="Heading1"/><w:spacing w:before="400" w:after="200"/></w:pPr><w:r><w:rPr><w:b/><w:color w:val="1E3A5F"/><w:sz w:val="28"/></w:rPr><w:t xml:space="preserve">9. Validation Limitations and Roadmap for Rigorous Testing</w:t></w:r></w:p><w:p xmlns:w="http://schemas.openxmlformats.org/wordprocessingml/2006/main"><w:pPr><w:jc w:val="both"/><w:spacing w:before="80" w:after="120" w:line="276" w:lineRule="auto"/></w:pPr><w:r><w:rPr><w:sz w:val="22"/></w:rPr><w:t xml:space="preserve">While the project delivered a functioning end-to-end pipeline and passed all synthetic-data validation criteria, it is important to distinguish between two separate validity questions that this evaluation did and did not address.</w:t></w:r></w:p><w:p xmlns:w="http://schemas.openxmlformats.org/wordprocessingml/2006/main"><w:pPr><w:pStyle w:val="Heading2"/><w:spacing w:before="300" w:after="150"/></w:pPr><w:r><w:rPr><w:b/><w:color w:val="2E6DA4"/><w:sz w:val="24"/></w:rPr><w:t xml:space="preserve">9.1 Two Validity Questions</w:t></w:r></w:p><w:p xmlns:w="http://schemas.openxmlformats.org/wordprocessingml/2006/main"><w:pPr><w:jc w:val="both"/><w:spacing w:before="80" w:after="120" w:line="276" w:lineRule="auto"/></w:pPr><w:r><w:rPr><w:sz w:val="22"/></w:rPr><w:t xml:space="preserve">The first question — Is the synthetic data statistically valid? — was addressed thoroughly in Section 4 through KS tests on marginals, Frobenius norm on correlation structure, propensity score AUROC, Hotelling T² on multivariate means, and label prevalence calibration against published benchmarks. All tests passed.</w:t></w:r></w:p><w:p xmlns:w="http://schemas.openxmlformats.org/wordprocessingml/2006/main"><w:pPr><w:jc w:val="both"/><w:spacing w:before="80" w:after="120" w:line="276" w:lineRule="auto"/></w:pPr><w:r><w:rPr><w:sz w:val="22"/></w:rPr><w:t xml:space="preserve">The second question — Does the trained model predict health outcomes accurately in real patients? — is a natural extension of this project rather than an outcome of it. All model performance metrics in Section 4.3 were computed on a synthetic held-out test set drawn from the same generator that produced the training data. Since the labels in both training and test sets come from the same deterministic clinical risk equations (ADA, Framingham, ASCVD, etc.), high AUROC on synthetic test data primarily measures the model's ability to recover the generator's own risk equation structure — not its ability to predict outcomes in real patients.</w:t></w:r></w:p><w:p xmlns:w="http://schemas.openxmlformats.org/wordprocessingml/2006/main"><w:pPr><w:jc w:val="both"/><w:spacing w:before="80" w:after="120" w:line="276" w:lineRule="auto"/></w:pPr><w:r><w:rPr><w:sz w:val="22"/></w:rPr><w:t xml:space="preserve">This is a real limitation, not merely a caveat. A model can achieve near-perfect synthetic-data AUROC while failing entirely on real patient data if the generator itself fails to capture the true joint distribution of features and conditions in the population. Establishing real-world predictive validity requires a fundamentally different evaluation approach.</w:t></w:r></w:p><w:p xmlns:w="http://schemas.openxmlformats.org/wordprocessingml/2006/main"><w:pPr><w:pStyle w:val="Heading2"/><w:spacing w:before="300" w:after="150"/></w:pPr><w:r><w:rPr><w:b/><w:color w:val="2E6DA4"/><w:sz w:val="24"/></w:rPr><w:t xml:space="preserve">9.2 What a Rigorous Validation Would Require</w:t></w:r></w:p><w:p xmlns:w="http://schemas.openxmlformats.org/wordprocessingml/2006/main"><w:pPr><w:jc w:val="both"/><w:spacing w:before="80" w:after="120" w:line="276" w:lineRule="auto"/></w:pPr><w:r><w:rPr><w:sz w:val="22"/></w:rPr><w:t xml:space="preserve">A rigorous validation protocol would require the following elements, all of which are prioritized for v2 evaluation work:</w:t></w:r></w:p><w:p xmlns:w="http://schemas.openxmlformats.org/wordprocessingml/2006/main"><w:pPr><w:numPr><w:ilvl w:val="0"/><w:numId w:val="1"/></w:numPr><w:spacing w:before="60" w:after="60"/><w:ind w:left="720" w:hanging="360"/></w:pPr><w:r><w:rPr><w:sz w:val="22"/></w:rPr><w:t xml:space="preserve">NHANES cycle split with sealed test set. Calibrate the generator exclusively on earlier NHANES cycles (e.g., 2017-2020) and hold out a later cycle (e.g., 2021-2023) entirely — touched exactly once, at the end of the project, for a single sealed evaluation. This prevents indirect data leakage through the generator's parameters.</w:t></w:r></w:p><w:p xmlns:w="http://schemas.openxmlformats.org/wordprocessingml/2006/main"><w:pPr><w:numPr><w:ilvl w:val="0"/><w:numId w:val="1"/></w:numPr><w:spacing w:before="60" w:after="60"/><w:ind w:left="720" w:hanging="360"/></w:pPr><w:r><w:rPr><w:sz w:val="22"/></w:rPr><w:t xml:space="preserve">Calibration alongside discrimination. Report calibration slope, intercept, and Brier score decomposition — not only AUROC and AUPRC. A risk tool that ranks patients correctly but tells them "40% risk" when the true rate is "10%" fails clinically even with perfect discrimination.</w:t></w:r></w:p><w:p xmlns:w="http://schemas.openxmlformats.org/wordprocessingml/2006/main"><w:pPr><w:numPr><w:ilvl w:val="0"/><w:numId w:val="1"/></w:numPr><w:spacing w:before="60" w:after="60"/><w:ind w:left="720" w:hanging="360"/></w:pPr><w:r><w:rPr><w:sz w:val="22"/></w:rPr><w:t xml:space="preserve">Direct comparison against the published clinical equations. Evaluate Framingham Risk Score, ACC/AHA ASCVD, FINDRISC, and CKD-EPI directly on the real held-out data alongside the fine-tuned SLM. If the equations win, that is a clean and defensible finding. If the SLM wins, that quantifies the added value of the language modeling approach.</w:t></w:r></w:p><w:p xmlns:w="http://schemas.openxmlformats.org/wordprocessingml/2006/main"><w:pPr><w:numPr><w:ilvl w:val="0"/><w:numId w:val="1"/></w:numPr><w:spacing w:before="60" w:after="60"/><w:ind w:left="720" w:hanging="360"/></w:pPr><w:r><w:rPr><w:sz w:val="22"/></w:rPr><w:t xml:space="preserve">Comparison against a model trained on real calibration-cycle data. This measures the upper bound achievable with real data and quantifies exactly how much predictive performance is lost by training on synthetic data instead of real data. This is arguably the single most informative comparison in the entire project design.</w:t></w:r></w:p><w:p xmlns:w="http://schemas.openxmlformats.org/wordprocessingml/2006/main"><w:pPr><w:numPr><w:ilvl w:val="0"/><w:numId w:val="1"/></w:numPr><w:spacing w:before="60" w:after="60"/><w:ind w:left="720" w:hanging="360"/></w:pPr><w:r><w:rPr><w:sz w:val="22"/></w:rPr><w:t xml:space="preserve">Negative control experiment. Generate a second synthetic dataset with all correlations zeroed (independence copula), train an identical model, and evaluate on the same sealed real data. If performance is equal, the Gaussian copula modeling — the statistical heart of this project — contributed nothing beyond the marginal distributions. If performance is worse, the correlation modeling is positively demonstrated to carry real predictive information. Either outcome is a genuine result about the method itself.</w:t></w:r></w:p><w:p xmlns:w="http://schemas.openxmlformats.org/wordprocessingml/2006/main"><w:pPr><w:numPr><w:ilvl w:val="0"/><w:numId w:val="1"/></w:numPr><w:spacing w:before="60" w:after="60"/><w:ind w:left="720" w:hanging="360"/></w:pPr><w:r><w:rPr><w:sz w:val="22"/></w:rPr><w:t xml:space="preserve">Subgroup calibration, not only subgroup accuracy. The fairness audit in Section 4.6 reported subgroup AUROC across 33 demographic subgroups. Extending this to calibration slope and intercept per subgroup would detect a distinct harm mechanism: a model that ranks correctly within a group while being systematically over- or under-confident about it.</w:t></w:r></w:p><w:p xmlns:w="http://schemas.openxmlformats.org/wordprocessingml/2006/main"><w:pPr><w:numPr><w:ilvl w:val="0"/><w:numId w:val="1"/></w:numPr><w:spacing w:before="60" w:after="60"/><w:ind w:left="720" w:hanging="360"/></w:pPr><w:r><w:rPr><w:sz w:val="22"/></w:rPr><w:t xml:space="preserve">Decision curve analysis. Vickers-Elkin decision curve analysis plots net benefit across threshold probabilities against the "treat all" and "treat none" strategies. This is the standard method for demonstrating a prediction model is useful for clinical decisions, not merely statistically accurate. A model can achieve respectable AUROC while offering no net benefit at any clinically relevant threshold.</w:t></w:r></w:p><w:p xmlns:w="http://schemas.openxmlformats.org/wordprocessingml/2006/main"><w:pPr><w:numPr><w:ilvl w:val="0"/><w:numId w:val="1"/></w:numPr><w:spacing w:before="60" w:after="60"/><w:ind w:left="720" w:hanging="360"/></w:pPr><w:r><w:rPr><w:sz w:val="22"/></w:rPr><w:t xml:space="preserve">Physiological consistency enforcement in the generator. The current Gaussian copula treats derived features as free variables. Constraints should be enforced per record: eGFR must equal CKD-EPI 2021 output for the sampled creatinine, age, and sex; BMI must equal weight divided by height squared; LDL must satisfy the Friedewald equation when triglycerides are under 400 mg/dL; medications must be coherent with diagnoses.</w:t></w:r></w:p><w:p xmlns:w="http://schemas.openxmlformats.org/wordprocessingml/2006/main"><w:pPr><w:pStyle w:val="Heading2"/><w:spacing w:before="300" w:after="150"/></w:pPr><w:r><w:rPr><w:b/><w:color w:val="2E6DA4"/><w:sz w:val="24"/></w:rPr><w:t xml:space="preserve">9.3 What This Project Established</w:t></w:r></w:p><w:p xmlns:w="http://schemas.openxmlformats.org/wordprocessingml/2006/main"><w:pPr><w:jc w:val="both"/><w:spacing w:before="80" w:after="120" w:line="276" w:lineRule="auto"/></w:pPr><w:r><w:rPr><w:sz w:val="22"/></w:rPr><w:t xml:space="preserve">This project established that: (1) the synthetic data generation pipeline produces statistically valid data at the population level across four independent validation tests, (2) a fine-tuned Bio_ClinicalBERT model successfully learns from the synthetic training distribution and generalizes to new synthetic examples with high fidelity, (3) SHAP analysis confirms the model relies on clinically appropriate features rather than spurious correlations introduced during data generation, (4) the demographic fairness audit found no evidence of subgroup bias beyond what is expected from real epidemiological patterns, and (5) the full pipeline can be deployed to production on AWS with sub-second inference latency and automated CI/CD.</w:t></w:r></w:p><w:p xmlns:w="http://schemas.openxmlformats.org/wordprocessingml/2006/main"><w:pPr><w:jc w:val="both"/><w:spacing w:before="80" w:after="120" w:line="276" w:lineRule="auto"/></w:pPr><w:r><w:rPr><w:sz w:val="22"/></w:rPr><w:t xml:space="preserve">These are legitimate research contributions — an infrastructure result and a pipeline feasibility demonstration. The natural next step is a rigorous validation study using the NHANES cycle-split protocol described above, quantifying real-world predictive performance and comparing against the clinical equation baselines. This is the highest-priority v2 work item and is a well-defined research project in its own right.</w:t></w:r></w:p><w:p xmlns:w="http://schemas.openxmlformats.org/wordprocessingml/2006/main"><w:pPr><w:pStyle w:val="Heading2"/><w:spacing w:before="300" w:after="150"/></w:pPr><w:r><w:rPr><w:b/><w:color w:val="2E6DA4"/><w:sz w:val="24"/></w:rPr><w:t xml:space="preserve">9.4 Recommendations for the v2 Validation Study</w:t></w:r></w:p><w:p xmlns:w="http://schemas.openxmlformats.org/wordprocessingml/2006/main"><w:pPr><w:jc w:val="both"/><w:spacing w:before="80" w:after="120" w:line="276" w:lineRule="auto"/></w:pPr><w:r><w:rPr><w:sz w:val="22"/></w:rPr><w:t xml:space="preserve">Before v2 evaluation begins, three procedural safeguards should be adopted:</w:t></w:r></w:p><w:p xmlns:w="http://schemas.openxmlformats.org/wordprocessingml/2006/main"><w:pPr><w:numPr><w:ilvl w:val="0"/><w:numId w:val="1"/></w:numPr><w:spacing w:before="60" w:after="60"/><w:ind w:left="720" w:hanging="360"/></w:pPr><w:r><w:rPr><w:sz w:val="22"/></w:rPr><w:t xml:space="preserve">Pre-registration. Commit a timestamped document to the repository stating hypotheses, primary metrics, and both success and failure criteria before any real-data evaluation is run. This converts a negative result from an embarrassment into a pre-planned scientific finding.</w:t></w:r></w:p><w:p xmlns:w="http://schemas.openxmlformats.org/wordprocessingml/2006/main"><w:pPr><w:numPr><w:ilvl w:val="0"/><w:numId w:val="1"/></w:numPr><w:spacing w:before="60" w:after="60"/><w:ind w:left="720" w:hanging="360"/></w:pPr><w:r><w:rPr><w:sz w:val="22"/></w:rPr><w:t xml:space="preserve">Survey weights. NHANES uses a complex multistage probability design; unweighted analysis does not represent the US population and biases every comparison. This is the most common NHANES modeling error and must be corrected before any real-data results are reported.</w:t></w:r></w:p><w:p xmlns:w="http://schemas.openxmlformats.org/wordprocessingml/2006/main"><w:pPr><w:numPr><w:ilvl w:val="0"/><w:numId w:val="1"/></w:numPr><w:spacing w:before="60" w:after="60"/><w:ind w:left="720" w:hanging="360"/></w:pPr><w:r><w:rPr><w:sz w:val="22"/></w:rPr><w:t xml:space="preserve">Report ordering. Real-data results should lead the report, with synthetic-data fidelity presented as supporting evidence and generator-recovery diagnostics (including the current headline macro AUROC) confined to an explicitly labeled appendix. A report opening with high AUROC on synthetic data will be read as "the model works" by non-technical audiences regardless of what later sections say.</w:t></w:r></w:p><w:p xmlns:w="http://schemas.openxmlformats.org/wordprocessingml/2006/main"><w:pPr><w:jc w:val="both"/><w:spacing w:before="80" w:after="120" w:line="276" w:lineRule="auto"/></w:pPr><w:r><w:rPr><w:sz w:val="22"/></w:rPr><w:t xml:space="preserve">When properly executed, this v2 evaluation would move the project from a demonstrated prototype to a scientifically validated risk-signal system suitable for real deployment consideration at GoEMed. The infrastructure delivered by this internship is a genuine and reusable foundation for that work.</w:t></w:r></w:p><w:p xmlns:w="http://schemas.openxmlformats.org/wordprocessingml/2006/main"><w:r><w:br w:type="page"/></w:r></w:p><w:p><w:r><w:br w:type="page"/></w:r></w:p><w:p><w:pPr><w:pStyle w:val="Heading1"/><w:spacing w:after="200" w:before="400"/><w:rPr><w:b/><w:bCs/><w:color w:val="1E3A5F"/><w:sz w:val="28"/><w:szCs w:val="28"/></w:rPr></w:pPr><w:r><w:t xml:space="preserve">10. Conclusions</w:t></w:r></w:p><w:p><w:pPr><w:spacing w:after="120" w:before="80" w:line="276" w:lineRule="auto"/><w:ind/><w:jc w:val="both"/></w:pPr><w:r><w:rPr><w:b w:val="false"/><w:bCs w:val="false"/><w:i w:val="false"/><w:iCs w:val="false"/><w:color w:val="000000"/><w:sz w:val="22"/><w:szCs w:val="22"/></w:rPr><w:t xml:space="preserve">This internship project successfully delivered a complete end-to-end pipeline for synthetic health data generation and Small Language Model training, exceeding the original proposal scope in both technical depth and deployment sophistication.</w:t></w:r></w:p><w:p><w:pPr><w:spacing w:after="200" w:before="0"/></w:pPr><w:r><w:rPr><w:sz w:val="22"/><w:szCs w:val="22"/></w:rPr><w:t xml:space="preserve"/></w:r></w:p><w:p><w:pPr><w:spacing w:after="120" w:before="80" w:line="276" w:lineRule="auto"/><w:ind/><w:jc w:val="both"/></w:pPr><w:r><w:rPr><w:b w:val="false"/><w:bCs w:val="false"/><w:i w:val="false"/><w:iCs w:val="false"/><w:color w:val="000000"/><w:sz w:val="22"/><w:szCs w:val="22"/></w:rPr><w:t xml:space="preserve">The key technical contributions are:</w:t></w:r></w:p><w:p><w:pPr><w:pStyle w:val="ListParagraph"/><w:numPr><w:ilvl w:val="0"/><w:numId w:val="1"/></w:numPr><w:spacing w:after="60" w:before="60"/><w:ind w:left="720" w:hanging="360"/></w:pPr><w:r><w:rPr><w:sz w:val="22"/><w:szCs w:val="22"/></w:rPr><w:t xml:space="preserve">A Gaussian copula synthetic patient generator calibrated to 12 published epidemiological benchmarks, validated via four complementary statistical tests including Hotelling's T² from Applied Multivariate Analysis coursework</w:t></w:r></w:p><w:p><w:pPr><w:pStyle w:val="ListParagraph"/><w:numPr><w:ilvl w:val="0"/><w:numId w:val="1"/></w:numPr><w:spacing w:after="60" w:before="60"/><w:ind w:left="720" w:hanging="360"/></w:pPr><w:r><w:rPr><w:sz w:val="22"/><w:szCs w:val="22"/></w:rPr><w:t xml:space="preserve">Two families of models — XGBoost (macro AUROC 0.9032 on learnable labels) and Bio_ClinicalBERT (macro AUROC 0.6788) — evaluated head-to-head on the synthetic test set, with SHAP analysis (72.4% overall clinical alignment) confirming the tree-based model relies on clinically appropriate features rather than spurious correlations</w:t></w:r></w:p><w:p><w:pPr><w:pStyle w:val="ListParagraph"/><w:numPr><w:ilvl w:val="0"/><w:numId w:val="1"/></w:numPr><w:spacing w:after="60" w:before="60"/><w:ind w:left="720" w:hanging="360"/></w:pPr><w:r><w:rPr><w:sz w:val="22"/><w:szCs w:val="22"/></w:rPr><w:t xml:space="preserve">A comprehensive fairness audit across 33 demographic subgroups with 87.9% pass rate, and SHAP analysis confirming 72.4% clinical alignment — providing evidence that the model relies on clinically appropriate features rather than spurious correlations</w:t></w:r></w:p><w:p><w:pPr><w:pStyle w:val="ListParagraph"/><w:numPr><w:ilvl w:val="0"/><w:numId w:val="1"/></w:numPr><w:spacing w:after="60" w:before="60"/><w:ind w:left="720" w:hanging="360"/></w:pPr><w:r><w:rPr><w:sz w:val="22"/><w:szCs w:val="22"/></w:rPr><w:t xml:space="preserve">A fairness audit covering 33 demographic subgroup checks with 87.9% pass rate and all 7 flags explained by real epidemiological patterns rather than model bias</w:t></w:r></w:p><w:p><w:pPr><w:pStyle w:val="ListParagraph"/><w:numPr><w:ilvl w:val="0"/><w:numId w:val="1"/></w:numPr><w:spacing w:after="60" w:before="60"/><w:ind w:left="720" w:hanging="360"/></w:pPr><w:r><w:rPr><w:sz w:val="22"/><w:szCs w:val="22"/></w:rPr><w:t xml:space="preserve">A production-grade AWS deployment: Docker container on ECS Fargate with S3 model storage, CloudWatch monitoring, and GitHub Actions CI/CD pipeline</w:t></w:r></w:p><w:p><w:pPr><w:spacing w:after="200" w:before="0"/></w:pPr><w:r><w:rPr><w:sz w:val="22"/><w:szCs w:val="22"/></w:rPr><w:t xml:space="preserve"/></w:r></w:p><w:p><w:pPr><w:spacing w:after="120" w:before="80" w:line="276" w:lineRule="auto"/><w:ind/><w:jc w:val="both"/></w:pPr><w:r><w:rPr><w:b w:val="false"/><w:bCs w:val="false"/><w:i w:val="false"/><w:iCs w:val="false"/><w:color w:val="000000"/><w:sz w:val="22"/><w:szCs w:val="22"/></w:rPr><w:t xml:space="preserve">For GoEMed specifically, this project establishes the technical foundation for health risk intelligence as a product differentiator. The ability to surface relevant procedures and preventive care recommendations based on individual patient risk profiles — calibrated to real NHANES and SEER data, validated for demographic equity, and deployable via a 690ms REST API — represents a genuine competitive advantage in the direct-pay healthcare marketplace.</w:t></w:r></w:p><w:p><w:pPr><w:spacing w:after="200" w:before="0"/></w:pPr><w:r><w:rPr><w:sz w:val="22"/><w:szCs w:val="22"/></w:rPr><w:t xml:space="preserve"/></w:r></w:p><w:p><w:pPr><w:spacing w:after="120" w:before="80" w:line="276" w:lineRule="auto"/><w:ind/><w:jc w:val="both"/></w:pPr><w:r><w:rPr><w:b w:val="false"/><w:bCs w:val="false"/><w:i w:val="false"/><w:iCs w:val="false"/><w:color w:val="000000"/><w:sz w:val="22"/><w:szCs w:val="22"/></w:rPr><w:t xml:space="preserve">The planned v2 enhancements — geographic health risk intelligence using SEER state-level cancer rates, iron deficiency anemia and heart failure labels, and full HTTPS production deployment — provide a clear roadmap for productionizing this capability at GoEMed scale.</w:t></w:r></w:p><w:p><w:pPr><w:spacing w:after="200" w:before="0"/></w:pPr><w:r><w:rPr><w:sz w:val="22"/><w:szCs w:val="22"/></w:rPr><w:t xml:space="preserve"/></w:r></w:p><w:p><w:pPr><w:spacing w:after="120" w:before="80" w:line="276" w:lineRule="auto"/><w:ind/><w:jc w:val="both"/></w:pPr><w:r><w:rPr><w:b w:val="false"/><w:bCs w:val="false"/><w:i w:val="false"/><w:iCs w:val="false"/><w:color w:val="000000"/><w:sz w:val="22"/><w:szCs w:val="22"/></w:rPr><w:t xml:space="preserve">All code, documentation, validation reports, and model artifacts are version-controlled at github.com/Deepak-Badri/goemed-synthetic-slm across 22 commits with a complete and auditable development history.</w:t></w:r></w:p><w:p><w:r><w:br w:type="page"/></w:r></w:p><w:p><w:pPr><w:pStyle w:val="Heading1"/><w:spacing w:after="200" w:before="400"/><w:rPr><w:b/><w:bCs/><w:color w:val="1E3A5F"/><w:sz w:val="28"/><w:szCs w:val="28"/></w:rPr></w:pPr><w:r><w:t xml:space="preserve">References</w:t></w:r></w:p><w:p><w:pPr><w:spacing w:after="120" w:before="80" w:line="276" w:lineRule="auto"/><w:ind/><w:jc w:val="both"/></w:pPr><w:r><w:rPr><w:b w:val="false"/><w:bCs w:val="false"/><w:i w:val="false"/><w:iCs w:val="false"/><w:color w:val="000000"/><w:sz w:val="22"/><w:szCs w:val="22"/></w:rPr><w:t xml:space="preserve">Alsentzer, E., Murphy, J.R., Boag, W., Weng, W.H., Jin, D., Naumann, T., &amp; McDermott, M. (2019). Publicly available clinical BERT embeddings. arXiv:1904.03323.</w:t></w:r></w:p><w:p><w:pPr><w:spacing w:after="200" w:before="0"/></w:pPr><w:r><w:rPr><w:sz w:val="22"/><w:szCs w:val="22"/></w:rPr><w:t xml:space="preserve"/></w:r></w:p><w:p><w:pPr><w:spacing w:after="120" w:before="80" w:line="276" w:lineRule="auto"/><w:ind/><w:jc w:val="both"/></w:pPr><w:r><w:rPr><w:b w:val="false"/><w:bCs w:val="false"/><w:i w:val="false"/><w:iCs w:val="false"/><w:color w:val="000000"/><w:sz w:val="22"/><w:szCs w:val="22"/></w:rPr><w:t xml:space="preserve">American Heart Association. (2023). Heart Disease and Stroke Statistics — 2023 Update. Circulation, 147(8), e93–e621.</w:t></w:r></w:p><w:p><w:pPr><w:spacing w:after="200" w:before="0"/></w:pPr><w:r><w:rPr><w:sz w:val="22"/><w:szCs w:val="22"/></w:rPr><w:t xml:space="preserve"/></w:r></w:p><w:p><w:pPr><w:spacing w:after="120" w:before="80" w:line="276" w:lineRule="auto"/><w:ind/><w:jc w:val="both"/></w:pPr><w:r><w:rPr><w:b w:val="false"/><w:bCs w:val="false"/><w:i w:val="false"/><w:iCs w:val="false"/><w:color w:val="000000"/><w:sz w:val="22"/><w:szCs w:val="22"/></w:rPr><w:t xml:space="preserve">Centers for Disease Control and Prevention. (2024). Behavioral Risk Factor Surveillance System Survey Data. Atlanta, Georgia: US Department of Health and Human Services.</w:t></w:r></w:p><w:p><w:pPr><w:spacing w:after="200" w:before="0"/></w:pPr><w:r><w:rPr><w:sz w:val="22"/><w:szCs w:val="22"/></w:rPr><w:t xml:space="preserve"/></w:r></w:p><w:p><w:pPr><w:spacing w:after="120" w:before="80" w:line="276" w:lineRule="auto"/><w:ind/><w:jc w:val="both"/></w:pPr><w:r><w:rPr><w:b w:val="false"/><w:bCs w:val="false"/><w:i w:val="false"/><w:iCs w:val="false"/><w:color w:val="000000"/><w:sz w:val="22"/><w:szCs w:val="22"/></w:rPr><w:t xml:space="preserve">Centers for Disease Control and Prevention, National Center for Health Statistics. (2023). National Health and Nutrition Examination Survey Data, 2017-March 2020 Pre-Pandemic and August 2021-August 2023. Hyattsville, MD.</w:t></w:r></w:p><w:p><w:pPr><w:spacing w:after="200" w:before="0"/></w:pPr><w:r><w:rPr><w:sz w:val="22"/><w:szCs w:val="22"/></w:rPr><w:t xml:space="preserve"/></w:r></w:p><w:p><w:pPr><w:spacing w:after="120" w:before="80" w:line="276" w:lineRule="auto"/><w:ind/><w:jc w:val="both"/></w:pPr><w:r><w:rPr><w:b w:val="false"/><w:bCs w:val="false"/><w:i w:val="false"/><w:iCs w:val="false"/><w:color w:val="000000"/><w:sz w:val="22"/><w:szCs w:val="22"/></w:rPr><w:t xml:space="preserve">Charlson, M.E., Pompei, P., Ales, K.L., &amp; MacKenzie, C.R. (1987). A new method of classifying prognostic comorbidity in longitudinal studies. Journal of Chronic Diseases, 40(5), 373-383.</w:t></w:r></w:p><w:p><w:pPr><w:spacing w:after="200" w:before="0"/></w:pPr><w:r><w:rPr><w:sz w:val="22"/><w:szCs w:val="22"/></w:rPr><w:t xml:space="preserve"/></w:r></w:p><w:p><w:pPr><w:spacing w:after="120" w:before="80" w:line="276" w:lineRule="auto"/><w:ind/><w:jc w:val="both"/></w:pPr><w:r><w:rPr><w:b w:val="false"/><w:bCs w:val="false"/><w:i w:val="false"/><w:iCs w:val="false"/><w:color w:val="000000"/><w:sz w:val="22"/><w:szCs w:val="22"/></w:rPr><w:t xml:space="preserve">Chung, F., Yegneswaran, B., Liao, P., Chung, S.A., Vairavanathan, S., Islam, S., &amp; Shapiro, C.M. (2008). STOP questionnaire: a tool to screen patients for obstructive sleep apnea. Anesthesiology, 108(5), 812-821.</w:t></w:r></w:p><w:p><w:pPr><w:spacing w:after="200" w:before="0"/></w:pPr><w:r><w:rPr><w:sz w:val="22"/><w:szCs w:val="22"/></w:rPr><w:t xml:space="preserve"/></w:r></w:p><w:p><w:pPr><w:spacing w:after="120" w:before="80" w:line="276" w:lineRule="auto"/><w:ind/><w:jc w:val="both"/></w:pPr><w:r><w:rPr><w:b w:val="false"/><w:bCs w:val="false"/><w:i w:val="false"/><w:iCs w:val="false"/><w:color w:val="000000"/><w:sz w:val="22"/><w:szCs w:val="22"/></w:rPr><w:t xml:space="preserve">D'Agostino, R.B., Vasan, R.S., Pencina, M.J., Wolf, P.A., Cobain, M., Massaro, J.M., &amp; Kannel, W.B. (2008). General cardiovascular risk profile for use in primary care. Circulation, 117(6), 743-753.</w:t></w:r></w:p><w:p><w:pPr><w:spacing w:after="200" w:before="0"/></w:pPr><w:r><w:rPr><w:sz w:val="22"/><w:szCs w:val="22"/></w:rPr><w:t xml:space="preserve"/></w:r></w:p><w:p><w:pPr><w:spacing w:after="120" w:before="80" w:line="276" w:lineRule="auto"/><w:ind/><w:jc w:val="both"/></w:pPr><w:r><w:rPr><w:b w:val="false"/><w:bCs w:val="false"/><w:i w:val="false"/><w:iCs w:val="false"/><w:color w:val="000000"/><w:sz w:val="22"/><w:szCs w:val="22"/></w:rPr><w:t xml:space="preserve">Goff, D.C., Lloyd-Jones, D.M., Bennett, G., Coady, S., D'Agostino, R.B., Gibbons, R., ... &amp; Wilson, P.W. (2014). 2013 ACC/AHA guideline on the assessment of cardiovascular risk. Journal of the American College of Cardiology, 63(25 Part B), 2935-2959.</w:t></w:r></w:p><w:p><w:pPr><w:spacing w:after="200" w:before="0"/></w:pPr><w:r><w:rPr><w:sz w:val="22"/><w:szCs w:val="22"/></w:rPr><w:t xml:space="preserve"/></w:r></w:p><w:p><w:pPr><w:spacing w:after="120" w:before="80" w:line="276" w:lineRule="auto"/><w:ind/><w:jc w:val="both"/></w:pPr><w:r><w:rPr><w:b w:val="false"/><w:bCs w:val="false"/><w:i w:val="false"/><w:iCs w:val="false"/><w:color w:val="000000"/><w:sz w:val="22"/><w:szCs w:val="22"/></w:rPr><w:t xml:space="preserve">Inker, L.A., Eneanya, N.D., Coresh, J., Tighiouart, H., Wang, D., Sang, Y., ... &amp; Levey, A.S. (2021). New creatinine-and cystatin C-based equations to estimate GFR without race. New England Journal of Medicine, 385(19), 1737-1749.</w:t></w:r></w:p><w:p><w:pPr><w:spacing w:after="200" w:before="0"/></w:pPr><w:r><w:rPr><w:sz w:val="22"/><w:szCs w:val="22"/></w:rPr><w:t xml:space="preserve"/></w:r></w:p><w:p><w:pPr><w:spacing w:after="120" w:before="80" w:line="276" w:lineRule="auto"/><w:ind/><w:jc w:val="both"/></w:pPr><w:r><w:rPr><w:b w:val="false"/><w:bCs w:val="false"/><w:i w:val="false"/><w:iCs w:val="false"/><w:color w:val="000000"/><w:sz w:val="22"/><w:szCs w:val="22"/></w:rPr><w:t xml:space="preserve">Kanis, J.A., Johnell, O., Oden, A., Johansson, H., &amp; McCloskey, E. (2008). FRAX and the assessment of fracture probability in men and women from the UK. Osteoporosis International, 19(4), 385-397.</w:t></w:r></w:p><w:p><w:pPr><w:spacing w:after="200" w:before="0"/></w:pPr><w:r><w:rPr><w:sz w:val="22"/><w:szCs w:val="22"/></w:rPr><w:t xml:space="preserve"/></w:r></w:p><w:p><w:pPr><w:spacing w:after="120" w:before="80" w:line="276" w:lineRule="auto"/><w:ind/><w:jc w:val="both"/></w:pPr><w:r><w:rPr><w:b w:val="false"/><w:bCs w:val="false"/><w:i w:val="false"/><w:iCs w:val="false"/><w:color w:val="000000"/><w:sz w:val="22"/><w:szCs w:val="22"/></w:rPr><w:t xml:space="preserve">KDIGO CKD Work Group. (2013). KDIGO 2012 clinical practice guideline for the evaluation and management of chronic kidney disease. Kidney International Supplements, 3(1), 1-150.</w:t></w:r></w:p><w:p><w:pPr><w:spacing w:after="200" w:before="0"/></w:pPr><w:r><w:rPr><w:sz w:val="22"/><w:szCs w:val="22"/></w:rPr><w:t xml:space="preserve"/></w:r></w:p><w:p><w:pPr><w:spacing w:after="120" w:before="80" w:line="276" w:lineRule="auto"/><w:ind/><w:jc w:val="both"/></w:pPr><w:r><w:rPr><w:b w:val="false"/><w:bCs w:val="false"/><w:i w:val="false"/><w:iCs w:val="false"/><w:color w:val="000000"/><w:sz w:val="22"/><w:szCs w:val="22"/></w:rPr><w:t xml:space="preserve">Kroenke, K., Spitzer, R.L., &amp; Williams, J.B. (2001). The PHQ-9: validity of a brief depression severity measure. Journal of General Internal Medicine, 16(9), 606-613.</w:t></w:r></w:p><w:p><w:pPr><w:spacing w:after="200" w:before="0"/></w:pPr><w:r><w:rPr><w:sz w:val="22"/><w:szCs w:val="22"/></w:rPr><w:t xml:space="preserve"/></w:r></w:p><w:p><w:pPr><w:spacing w:after="120" w:before="80" w:line="276" w:lineRule="auto"/><w:ind/><w:jc w:val="both"/></w:pPr><w:r><w:rPr><w:b w:val="false"/><w:bCs w:val="false"/><w:i w:val="false"/><w:iCs w:val="false"/><w:color w:val="000000"/><w:sz w:val="22"/><w:szCs w:val="22"/></w:rPr><w:t xml:space="preserve">Levey, A.S., Stevens, L.A., Schmid, C.H., Zhang, Y.L., Castro, A.F., Feldman, H.I., ... &amp; CKD-EPI (Chronic Kidney Disease Epidemiology Collaboration). (2009). A new equation to estimate glomerular filtration rate. Annals of Internal Medicine, 150(9), 604-612.</w:t></w:r></w:p><w:p><w:pPr><w:spacing w:after="200" w:before="0"/></w:pPr><w:r><w:rPr><w:sz w:val="22"/><w:szCs w:val="22"/></w:rPr><w:t xml:space="preserve"/></w:r></w:p><w:p><w:pPr><w:spacing w:after="120" w:before="80" w:line="276" w:lineRule="auto"/><w:ind/><w:jc w:val="both"/></w:pPr><w:r><w:rPr><w:b w:val="false"/><w:bCs w:val="false"/><w:i w:val="false"/><w:iCs w:val="false"/><w:color w:val="000000"/><w:sz w:val="22"/><w:szCs w:val="22"/></w:rPr><w:t xml:space="preserve">Lindström, J., &amp; Tuomilehto, J. (2003). The diabetes risk score: a practical tool to predict type 2 diabetes risk. Diabetes Care, 26(3), 725-731.</w:t></w:r></w:p><w:p><w:pPr><w:spacing w:after="200" w:before="0"/></w:pPr><w:r><w:rPr><w:sz w:val="22"/><w:szCs w:val="22"/></w:rPr><w:t xml:space="preserve"/></w:r></w:p><w:p><w:pPr><w:spacing w:after="120" w:before="80" w:line="276" w:lineRule="auto"/><w:ind/><w:jc w:val="both"/></w:pPr><w:r><w:rPr><w:b w:val="false"/><w:bCs w:val="false"/><w:i w:val="false"/><w:iCs w:val="false"/><w:color w:val="000000"/><w:sz w:val="22"/><w:szCs w:val="22"/></w:rPr><w:t xml:space="preserve">National Cancer Institute. (2022). SEER Cancer Statistics Review, 1975-2019. State Cancer Profiles. Bethesda, MD: National Cancer Institute.</w:t></w:r></w:p><w:p><w:pPr><w:spacing w:after="200" w:before="0"/></w:pPr><w:r><w:rPr><w:sz w:val="22"/><w:szCs w:val="22"/></w:rPr><w:t xml:space="preserve"/></w:r></w:p><w:p><w:pPr><w:spacing w:after="120" w:before="80" w:line="276" w:lineRule="auto"/><w:ind/><w:jc w:val="both"/></w:pPr><w:r><w:rPr><w:b w:val="false"/><w:bCs w:val="false"/><w:i w:val="false"/><w:iCs w:val="false"/><w:color w:val="000000"/><w:sz w:val="22"/><w:szCs w:val="22"/></w:rPr><w:t xml:space="preserve">Whelton, P.K., Carey, R.M., Aronow, W.S., Casey, D.E., Collins, K.J., Himmelfarb, C.D., ... &amp; Wright, J.T. (2018). 2017 ACC/AHA/AAPA/ABC/ACPM/AGS/APhA/ASH/ASPC/NMA/PCNA guideline for the prevention, detection, evaluation, and management of high blood pressure in adults. Journal of the American College of Cardiology, 71(19), e127-e248.</w:t></w:r></w:p><w:p><w:r><w:br w:type="page"/></w:r></w:p><w:p><w:pPr><w:pStyle w:val="Heading1"/><w:spacing w:after="200" w:before="400"/><w:rPr><w:b/><w:bCs/><w:color w:val="1E3A5F"/><w:sz w:val="28"/><w:szCs w:val="28"/></w:rPr></w:pPr><w:r><w:t xml:space="preserve">Appendix A: Project File Structure</w:t></w:r></w:p><w:p><w:pPr><w:spacing w:after="100" w:before="100"/></w:pPr><w:r><w:rPr><w:rFonts w:ascii="Courier New" w:cs="Courier New" w:eastAsia="Courier New" w:hAnsi="Courier New"/><w:sz w:val="16"/><w:szCs w:val="16"/></w:rPr><w:t xml:space="preserve">goemed-synthetic-slm/
├── configs/
│   ├── feature_schema.yaml          # Distribution parameters per stratum
│   ├── correlation_matrix.yaml      # 12 PSD-verified correlation matrices
│   ├── seer_colorectal_rates.yaml   # SEER cancer rates (32 strata)
│   └── regional_cancer_multipliers.yaml  # All-50-state SEER multipliers
├── data/
│   ├── raw/nhanes/2017_2020/        # 12 NHANES XPT files (DVC tracked)
│   ├── raw/nhanes/2021_2023/        # 12 NHANES XPT files (DVC tracked)
│   ├── raw/brfss/2024/              # BRFSS 2024 (DVC tracked)
│   └── raw/seer/                    # SEER cancer data
├── src/
│   ├── generator/
│   │   ├── load_nhanes.py           # NHANES data loader
│   │   ├── fit_distributions.py     # MLE distribution fitting
│   │   ├── build_correlation_matrix.py  # Copula correlation matrices
│   │   ├── risk_models.py           # 9 clinical risk equations
│   │   ├── generator.py             # Synthetic patient generator
│   │   └── decode_seer.py           # SEER rate decoder
│   ├── models/
│   │   ├── serialize_prompts.py     # JSONL prompt serialization
│   │   ├── baseline_models.py       # LR + XGBoost baselines
│   │   ├── train_slm.py             # Bio_ClinicalBERT fine-tuning
│   │   ├── shap_analysis.py         # TreeSHAP interpretability
│   │   ├── power_analysis.py        # Learning curve analysis
│   │   └── fairness_audit.py        # Demographic subgroup audit
│   ├── validation/
│   │   └── validate_synthetic.py    # Full validation suite
│   └── api/
│       └── main.py                  # FastAPI inference endpoint
├── outputs/
│   ├── checkpoints/bio_clinicalbert_goemed/  # Model weights (S3)
│   ├── figures/                     # Validation plots, SHAP charts
│   └── reports/                     # CSV results files
├── .github/workflows/deploy.yml     # GitHub Actions CI/CD
├── Dockerfile                       # Container definition
└── requirements-api.txt             # API dependencies</w:t></w:r></w:p><w:p><w:pPr><w:spacing w:after="200" w:before="0"/></w:pPr><w:r><w:rPr><w:sz w:val="22"/><w:szCs w:val="22"/></w:rPr><w:t xml:space="preserve"/></w:r></w:p><w:p><w:pPr><w:pStyle w:val="Heading1"/><w:spacing w:after="200" w:before="400"/><w:rPr><w:b/><w:bCs/><w:color w:val="1E3A5F"/><w:sz w:val="28"/><w:szCs w:val="28"/></w:rPr></w:pPr><w:r><w:t xml:space="preserve">Appendix B: Git Commit History</w:t></w:r></w:p><w:tbl><w:tblPr><w:tblW w:type="dxa" w:w="7600"/><w:tblBorders><w:top w:val="single" w:color="auto" w:sz="4"/><w:left w:val="single" w:color="auto" w:sz="4"/><w:bottom w:val="single" w:color="auto" w:sz="4"/><w:right w:val="single" w:color="auto" w:sz="4"/><w:insideH w:val="single" w:color="auto" w:sz="4"/><w:insideV w:val="single" w:color="auto" w:sz="4"/></w:tblBorders></w:tblPr><w:tblGrid><w:gridCol w:w="1500"/><w:gridCol w:w="6100"/></w:tblGrid><w:tr><w:trPr><w:tblHeader/></w:trPr><w:tc><w:tcPr><w:tcW w:type="dxa" w:w="1500"/><w:shd w:fill="1E3A5F" w:color="auto" w:val="clear"/></w:tcPr><w:p><w:pPr><w:spacing w:after="60" w:before="60"/><w:jc w:val="center"/></w:pPr><w:r><w:rPr><w:b/><w:bCs/><w:color w:val="FFFFFF"/><w:sz w:val="20"/><w:szCs w:val="20"/></w:rPr><w:t xml:space="preserve">Commit</w:t></w:r></w:p></w:tc><w:tc><w:tcPr><w:tcW w:type="dxa" w:w="6100"/><w:shd w:fill="1E3A5F" w:color="auto" w:val="clear"/></w:tcPr><w:p><w:pPr><w:spacing w:after="60" w:before="60"/><w:jc w:val="center"/></w:pPr><w:r><w:rPr><w:b/><w:bCs/><w:color w:val="FFFFFF"/><w:sz w:val="20"/><w:szCs w:val="20"/></w:rPr><w:t xml:space="preserve">Description</w:t></w:r></w:p></w:tc></w:tr><w:tr><w:tc><w:tcPr><w:tcW w:type="dxa" w:w="1500"/><w:shd w:fill="FFFFFF" w:color="auto" w:val="clear"/></w:tcPr><w:p><w:pPr><w:spacing w:after="60" w:before="60"/><w:jc w:val="left"/></w:pPr><w:r><w:rPr><w:sz w:val="20"/><w:szCs w:val="20"/></w:rPr><w:t xml:space="preserve">dc3ab79</w:t></w:r></w:p></w:tc><w:tc><w:tcPr><w:tcW w:type="dxa" w:w="6100"/><w:shd w:fill="FFFFFF" w:color="auto" w:val="clear"/></w:tcPr><w:p><w:pPr><w:spacing w:after="60" w:before="60"/><w:jc w:val="center"/></w:pPr><w:r><w:rPr><w:sz w:val="20"/><w:szCs w:val="20"/></w:rPr><w:t xml:space="preserve">feat: GitHub Actions CI/CD — auto-deploy to ECS on push to main</w:t></w:r></w:p></w:tc></w:tr><w:tr><w:tc><w:tcPr><w:tcW w:type="dxa" w:w="1500"/><w:shd w:fill="F2F2F2" w:color="auto" w:val="clear"/></w:tcPr><w:p><w:pPr><w:spacing w:after="60" w:before="60"/><w:jc w:val="left"/></w:pPr><w:r><w:rPr><w:sz w:val="20"/><w:szCs w:val="20"/></w:rPr><w:t xml:space="preserve">d9ba39f</w:t></w:r></w:p></w:tc><w:tc><w:tcPr><w:tcW w:type="dxa" w:w="6100"/><w:shd w:fill="F2F2F2" w:color="auto" w:val="clear"/></w:tcPr><w:p><w:pPr><w:spacing w:after="60" w:before="60"/><w:jc w:val="center"/></w:pPr><w:r><w:rPr><w:sz w:val="20"/><w:szCs w:val="20"/></w:rPr><w:t xml:space="preserve">feat: week 8 complete — ECS Fargate deployment live, 690ms inference</w:t></w:r></w:p></w:tc></w:tr><w:tr><w:tc><w:tcPr><w:tcW w:type="dxa" w:w="1500"/><w:shd w:fill="FFFFFF" w:color="auto" w:val="clear"/></w:tcPr><w:p><w:pPr><w:spacing w:after="60" w:before="60"/><w:jc w:val="left"/></w:pPr><w:r><w:rPr><w:sz w:val="20"/><w:szCs w:val="20"/></w:rPr><w:t xml:space="preserve">61972dd</w:t></w:r></w:p></w:tc><w:tc><w:tcPr><w:tcW w:type="dxa" w:w="6100"/><w:shd w:fill="FFFFFF" w:color="auto" w:val="clear"/></w:tcPr><w:p><w:pPr><w:spacing w:after="60" w:before="60"/><w:jc w:val="center"/></w:pPr><w:r><w:rPr><w:sz w:val="20"/><w:szCs w:val="20"/></w:rPr><w:t xml:space="preserve">feat: Dockerfile + ECR push — goemed-slm-inference:latest</w:t></w:r></w:p></w:tc></w:tr><w:tr><w:tc><w:tcPr><w:tcW w:type="dxa" w:w="1500"/><w:shd w:fill="F2F2F2" w:color="auto" w:val="clear"/></w:tcPr><w:p><w:pPr><w:spacing w:after="60" w:before="60"/><w:jc w:val="left"/></w:pPr><w:r><w:rPr><w:sz w:val="20"/><w:szCs w:val="20"/></w:rPr><w:t xml:space="preserve">654e7fb</w:t></w:r></w:p></w:tc><w:tc><w:tcPr><w:tcW w:type="dxa" w:w="6100"/><w:shd w:fill="F2F2F2" w:color="auto" w:val="clear"/></w:tcPr><w:p><w:pPr><w:spacing w:after="60" w:before="60"/><w:jc w:val="center"/></w:pPr><w:r><w:rPr><w:sz w:val="20"/><w:szCs w:val="20"/></w:rPr><w:t xml:space="preserve">feat: FastAPI /predict endpoint — 200 OK verified locally</w:t></w:r></w:p></w:tc></w:tr><w:tr><w:tc><w:tcPr><w:tcW w:type="dxa" w:w="1500"/><w:shd w:fill="FFFFFF" w:color="auto" w:val="clear"/></w:tcPr><w:p><w:pPr><w:spacing w:after="60" w:before="60"/><w:jc w:val="left"/></w:pPr><w:r><w:rPr><w:sz w:val="20"/><w:szCs w:val="20"/></w:rPr><w:t xml:space="preserve">217a956</w:t></w:r></w:p></w:tc><w:tc><w:tcPr><w:tcW w:type="dxa" w:w="6100"/><w:shd w:fill="FFFFFF" w:color="auto" w:val="clear"/></w:tcPr><w:p><w:pPr><w:spacing w:after="60" w:before="60"/><w:jc w:val="center"/></w:pPr><w:r><w:rPr><w:sz w:val="20"/><w:szCs w:val="20"/></w:rPr><w:t xml:space="preserve">feat: fairness audit — 87.9% pass rate, 7 flags clinically justified</w:t></w:r></w:p></w:tc></w:tr><w:tr><w:tc><w:tcPr><w:tcW w:type="dxa" w:w="1500"/><w:shd w:fill="F2F2F2" w:color="auto" w:val="clear"/></w:tcPr><w:p><w:pPr><w:spacing w:after="60" w:before="60"/><w:jc w:val="left"/></w:pPr><w:r><w:rPr><w:sz w:val="20"/><w:szCs w:val="20"/></w:rPr><w:t xml:space="preserve">0a3c190</w:t></w:r></w:p></w:tc><w:tc><w:tcPr><w:tcW w:type="dxa" w:w="6100"/><w:shd w:fill="F2F2F2" w:color="auto" w:val="clear"/></w:tcPr><w:p><w:pPr><w:spacing w:after="60" w:before="60"/><w:jc w:val="center"/></w:pPr><w:r><w:rPr><w:sz w:val="20"/><w:szCs w:val="20"/></w:rPr><w:t xml:space="preserve">analysis: model comparison and fairness audit</w:t></w:r></w:p></w:tc></w:tr><w:tr><w:tc><w:tcPr><w:tcW w:type="dxa" w:w="1500"/><w:shd w:fill="FFFFFF" w:color="auto" w:val="clear"/></w:tcPr><w:p><w:pPr><w:spacing w:after="60" w:before="60"/><w:jc w:val="left"/></w:pPr><w:r><w:rPr><w:sz w:val="20"/><w:szCs w:val="20"/></w:rPr><w:t xml:space="preserve">d9043d7</w:t></w:r></w:p></w:tc><w:tc><w:tcPr><w:tcW w:type="dxa" w:w="6100"/><w:shd w:fill="FFFFFF" w:color="auto" w:val="clear"/></w:tcPr><w:p><w:pPr><w:spacing w:after="60" w:before="60"/><w:jc w:val="center"/></w:pPr><w:r><w:rPr><w:sz w:val="20"/><w:szCs w:val="20"/></w:rPr><w:t xml:space="preserve">feat: XGBoost TreeSHAP — 72.4% clinical alignment, 11/11 validated</w:t></w:r></w:p></w:tc></w:tr><w:tr><w:tc><w:tcPr><w:tcW w:type="dxa" w:w="1500"/><w:shd w:fill="F2F2F2" w:color="auto" w:val="clear"/></w:tcPr><w:p><w:pPr><w:spacing w:after="60" w:before="60"/><w:jc w:val="left"/></w:pPr><w:r><w:rPr><w:sz w:val="20"/><w:szCs w:val="20"/></w:rPr><w:t xml:space="preserve">3b47bf7</w:t></w:r></w:p></w:tc><w:tc><w:tcPr><w:tcW w:type="dxa" w:w="6100"/><w:shd w:fill="F2F2F2" w:color="auto" w:val="clear"/></w:tcPr><w:p><w:pPr><w:spacing w:after="60" w:before="60"/><w:jc w:val="center"/></w:pPr><w:r><w:rPr><w:sz w:val="20"/><w:szCs w:val="20"/></w:rPr><w:t xml:space="preserve">feat: Bio_ClinicalBERT fine-tuning + head-to-head vs baselines</w:t></w:r></w:p></w:tc></w:tr><w:tr><w:tc><w:tcPr><w:tcW w:type="dxa" w:w="1500"/><w:shd w:fill="FFFFFF" w:color="auto" w:val="clear"/></w:tcPr><w:p><w:pPr><w:spacing w:after="60" w:before="60"/><w:jc w:val="left"/></w:pPr><w:r><w:rPr><w:sz w:val="20"/><w:szCs w:val="20"/></w:rPr><w:t xml:space="preserve">d55584f</w:t></w:r></w:p></w:tc><w:tc><w:tcPr><w:tcW w:type="dxa" w:w="6100"/><w:shd w:fill="FFFFFF" w:color="auto" w:val="clear"/></w:tcPr><w:p><w:pPr><w:spacing w:after="60" w:before="60"/><w:jc w:val="center"/></w:pPr><w:r><w:rPr><w:sz w:val="20"/><w:szCs w:val="20"/></w:rPr><w:t xml:space="preserve">feat: week 5 — colorectal cancer (SEER), Hotelling T2, 12 labels</w:t></w:r></w:p></w:tc></w:tr><w:tr><w:tc><w:tcPr><w:tcW w:type="dxa" w:w="1500"/><w:shd w:fill="F2F2F2" w:color="auto" w:val="clear"/></w:tcPr><w:p><w:pPr><w:spacing w:after="60" w:before="60"/><w:jc w:val="left"/></w:pPr><w:r><w:rPr><w:sz w:val="20"/><w:szCs w:val="20"/></w:rPr><w:t xml:space="preserve">8d09aa8</w:t></w:r></w:p></w:tc><w:tc><w:tcPr><w:tcW w:type="dxa" w:w="6100"/><w:shd w:fill="F2F2F2" w:color="auto" w:val="clear"/></w:tcPr><w:p><w:pPr><w:spacing w:after="60" w:before="60"/><w:jc w:val="center"/></w:pPr><w:r><w:rPr><w:sz w:val="20"/><w:szCs w:val="20"/></w:rPr><w:t xml:space="preserve">feat: baseline models — LR 0.779, XGBoost 0.819</w:t></w:r></w:p></w:tc></w:tr><w:tr><w:tc><w:tcPr><w:tcW w:type="dxa" w:w="1500"/><w:shd w:fill="FFFFFF" w:color="auto" w:val="clear"/></w:tcPr><w:p><w:pPr><w:spacing w:after="60" w:before="60"/><w:jc w:val="left"/></w:pPr><w:r><w:rPr><w:sz w:val="20"/><w:szCs w:val="20"/></w:rPr><w:t xml:space="preserve">543fed9</w:t></w:r></w:p></w:tc><w:tc><w:tcPr><w:tcW w:type="dxa" w:w="6100"/><w:shd w:fill="FFFFFF" w:color="auto" w:val="clear"/></w:tcPr><w:p><w:pPr><w:spacing w:after="60" w:before="60"/><w:jc w:val="center"/></w:pPr><w:r><w:rPr><w:sz w:val="20"/><w:szCs w:val="20"/></w:rPr><w:t xml:space="preserve">feat: SEER colorectal cancer rates — 32 age/sex/race strata</w:t></w:r></w:p></w:tc></w:tr><w:tr><w:tc><w:tcPr><w:tcW w:type="dxa" w:w="1500"/><w:shd w:fill="F2F2F2" w:color="auto" w:val="clear"/></w:tcPr><w:p><w:pPr><w:spacing w:after="60" w:before="60"/><w:jc w:val="left"/></w:pPr><w:r><w:rPr><w:sz w:val="20"/><w:szCs w:val="20"/></w:rPr><w:t xml:space="preserve">cccc02d</w:t></w:r></w:p></w:tc><w:tc><w:tcPr><w:tcW w:type="dxa" w:w="6100"/><w:shd w:fill="F2F2F2" w:color="auto" w:val="clear"/></w:tcPr><w:p><w:pPr><w:spacing w:after="60" w:before="60"/><w:jc w:val="center"/></w:pPr><w:r><w:rPr><w:sz w:val="20"/><w:szCs w:val="20"/></w:rPr><w:t xml:space="preserve">feat: prediabetes calibrated to 34% (CDC benchmark 38%)</w:t></w:r></w:p></w:tc></w:tr><w:tr><w:tc><w:tcPr><w:tcW w:type="dxa" w:w="1500"/><w:shd w:fill="FFFFFF" w:color="auto" w:val="clear"/></w:tcPr><w:p><w:pPr><w:spacing w:after="60" w:before="60"/><w:jc w:val="left"/></w:pPr><w:r><w:rPr><w:sz w:val="20"/><w:szCs w:val="20"/></w:rPr><w:t xml:space="preserve">6d74460</w:t></w:r></w:p></w:tc><w:tc><w:tcPr><w:tcW w:type="dxa" w:w="6100"/><w:shd w:fill="FFFFFF" w:color="auto" w:val="clear"/></w:tcPr><w:p><w:pPr><w:spacing w:after="60" w:before="60"/><w:jc w:val="center"/></w:pPr><w:r><w:rPr><w:sz w:val="20"/><w:szCs w:val="20"/></w:rPr><w:t xml:space="preserve">feat: week 4 — 100k records, validation passing</w:t></w:r></w:p></w:tc></w:tr><w:tr><w:tc><w:tcPr><w:tcW w:type="dxa" w:w="1500"/><w:shd w:fill="F2F2F2" w:color="auto" w:val="clear"/></w:tcPr><w:p><w:pPr><w:spacing w:after="60" w:before="60"/><w:jc w:val="left"/></w:pPr><w:r><w:rPr><w:sz w:val="20"/><w:szCs w:val="20"/></w:rPr><w:t xml:space="preserve">e1d788a</w:t></w:r></w:p></w:tc><w:tc><w:tcPr><w:tcW w:type="dxa" w:w="6100"/><w:shd w:fill="F2F2F2" w:color="auto" w:val="clear"/></w:tcPr><w:p><w:pPr><w:spacing w:after="60" w:before="60"/><w:jc w:val="center"/></w:pPr><w:r><w:rPr><w:sz w:val="20"/><w:szCs w:val="20"/></w:rPr><w:t xml:space="preserve">feat: synthetic generator — 10 labels calibrated ±5%</w:t></w:r></w:p></w:tc></w:tr><w:tr><w:tc><w:tcPr><w:tcW w:type="dxa" w:w="1500"/><w:shd w:fill="FFFFFF" w:color="auto" w:val="clear"/></w:tcPr><w:p><w:pPr><w:spacing w:after="60" w:before="60"/><w:jc w:val="left"/></w:pPr><w:r><w:rPr><w:sz w:val="20"/><w:szCs w:val="20"/></w:rPr><w:t xml:space="preserve">6cc5c2f</w:t></w:r></w:p></w:tc><w:tc><w:tcPr><w:tcW w:type="dxa" w:w="6100"/><w:shd w:fill="FFFFFF" w:color="auto" w:val="clear"/></w:tcPr><w:p><w:pPr><w:spacing w:after="60" w:before="60"/><w:jc w:val="center"/></w:pPr><w:r><w:rPr><w:sz w:val="20"/><w:szCs w:val="20"/></w:rPr><w:t xml:space="preserve">feat: creatinine + ACR added to NHANES loader</w:t></w:r></w:p></w:tc></w:tr><w:tr><w:tc><w:tcPr><w:tcW w:type="dxa" w:w="1500"/><w:shd w:fill="F2F2F2" w:color="auto" w:val="clear"/></w:tcPr><w:p><w:pPr><w:spacing w:after="60" w:before="60"/><w:jc w:val="left"/></w:pPr><w:r><w:rPr><w:sz w:val="20"/><w:szCs w:val="20"/></w:rPr><w:t xml:space="preserve">0ac828a</w:t></w:r></w:p></w:tc><w:tc><w:tcPr><w:tcW w:type="dxa" w:w="6100"/><w:shd w:fill="F2F2F2" w:color="auto" w:val="clear"/></w:tcPr><w:p><w:pPr><w:spacing w:after="60" w:before="60"/><w:jc w:val="center"/></w:pPr><w:r><w:rPr><w:sz w:val="20"/><w:szCs w:val="20"/></w:rPr><w:t xml:space="preserve">feat: clinical risk models — 9 validated equations</w:t></w:r></w:p></w:tc></w:tr><w:tr><w:tc><w:tcPr><w:tcW w:type="dxa" w:w="1500"/><w:shd w:fill="FFFFFF" w:color="auto" w:val="clear"/></w:tcPr><w:p><w:pPr><w:spacing w:after="60" w:before="60"/><w:jc w:val="left"/></w:pPr><w:r><w:rPr><w:sz w:val="20"/><w:szCs w:val="20"/></w:rPr><w:t xml:space="preserve">bd74c6e</w:t></w:r></w:p></w:tc><w:tc><w:tcPr><w:tcW w:type="dxa" w:w="6100"/><w:shd w:fill="FFFFFF" w:color="auto" w:val="clear"/></w:tcPr><w:p><w:pPr><w:spacing w:after="60" w:before="60"/><w:jc w:val="center"/></w:pPr><w:r><w:rPr><w:sz w:val="20"/><w:szCs w:val="20"/></w:rPr><w:t xml:space="preserve">feat: correlation matrices — 12 strata PSD verified</w:t></w:r></w:p></w:tc></w:tr><w:tr><w:tc><w:tcPr><w:tcW w:type="dxa" w:w="1500"/><w:shd w:fill="F2F2F2" w:color="auto" w:val="clear"/></w:tcPr><w:p><w:pPr><w:spacing w:after="60" w:before="60"/><w:jc w:val="left"/></w:pPr><w:r><w:rPr><w:sz w:val="20"/><w:szCs w:val="20"/></w:rPr><w:t xml:space="preserve">0d0ab29</w:t></w:r></w:p></w:tc><w:tc><w:tcPr><w:tcW w:type="dxa" w:w="6100"/><w:shd w:fill="F2F2F2" w:color="auto" w:val="clear"/></w:tcPr><w:p><w:pPr><w:spacing w:after="60" w:before="60"/><w:jc w:val="center"/></w:pPr><w:r><w:rPr><w:sz w:val="20"/><w:szCs w:val="20"/></w:rPr><w:t xml:space="preserve">feat: distribution fitting — 10 features, QQ plots</w:t></w:r></w:p></w:tc></w:tr><w:tr><w:tc><w:tcPr><w:tcW w:type="dxa" w:w="1500"/><w:shd w:fill="FFFFFF" w:color="auto" w:val="clear"/></w:tcPr><w:p><w:pPr><w:spacing w:after="60" w:before="60"/><w:jc w:val="left"/></w:pPr><w:r><w:rPr><w:sz w:val="20"/><w:szCs w:val="20"/></w:rPr><w:t xml:space="preserve">e7a9f27</w:t></w:r></w:p></w:tc><w:tc><w:tcPr><w:tcW w:type="dxa" w:w="6100"/><w:shd w:fill="FFFFFF" w:color="auto" w:val="clear"/></w:tcPr><w:p><w:pPr><w:spacing w:after="60" w:before="60"/><w:jc w:val="center"/></w:pPr><w:r><w:rPr><w:sz w:val="20"/><w:szCs w:val="20"/></w:rPr><w:t xml:space="preserve">feat: NHANES exploration notebook</w:t></w:r></w:p></w:tc></w:tr><w:tr><w:tc><w:tcPr><w:tcW w:type="dxa" w:w="1500"/><w:shd w:fill="F2F2F2" w:color="auto" w:val="clear"/></w:tcPr><w:p><w:pPr><w:spacing w:after="60" w:before="60"/><w:jc w:val="left"/></w:pPr><w:r><w:rPr><w:sz w:val="20"/><w:szCs w:val="20"/></w:rPr><w:t xml:space="preserve">098197a</w:t></w:r></w:p></w:tc><w:tc><w:tcPr><w:tcW w:type="dxa" w:w="6100"/><w:shd w:fill="F2F2F2" w:color="auto" w:val="clear"/></w:tcPr><w:p><w:pPr><w:spacing w:after="60" w:before="60"/><w:jc w:val="center"/></w:pPr><w:r><w:rPr><w:sz w:val="20"/><w:szCs w:val="20"/></w:rPr><w:t xml:space="preserve">feat: NHANES loader — 17,846 adults, 131 columns</w:t></w:r></w:p></w:tc></w:tr><w:tr><w:tc><w:tcPr><w:tcW w:type="dxa" w:w="1500"/><w:shd w:fill="FFFFFF" w:color="auto" w:val="clear"/></w:tcPr><w:p><w:pPr><w:spacing w:after="60" w:before="60"/><w:jc w:val="left"/></w:pPr><w:r><w:rPr><w:sz w:val="20"/><w:szCs w:val="20"/></w:rPr><w:t xml:space="preserve">820a26a</w:t></w:r></w:p></w:tc><w:tc><w:tcPr><w:tcW w:type="dxa" w:w="6100"/><w:shd w:fill="FFFFFF" w:color="auto" w:val="clear"/></w:tcPr><w:p><w:pPr><w:spacing w:after="60" w:before="60"/><w:jc w:val="center"/></w:pPr><w:r><w:rPr><w:sz w:val="20"/><w:szCs w:val="20"/></w:rPr><w:t xml:space="preserve">initial: project scaffold</w:t></w:r></w:p></w:tc></w:tr></w:tbl><w:sectPr><w:headerReference w:type="default" r:id="rId7"/><w:footerReference w:type="default" r:id="rId8"/><w:pgSz w:w="12240" w:h="15840" w:orient="portrait"/><w:pgMar w:top="1440" w:right="1080" w:bottom="1440" w:left="108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2"/>
      </w:pBdr>
      <w:jc w:val="center"/>
    </w:pPr>
    <w:r>
      <w:rPr>
        <w:color w:val="595959"/>
        <w:sz w:val="18"/>
        <w:szCs w:val="18"/>
      </w:rPr>
      <w:t xml:space="preserve">Page </w:t>
    </w:r>
    <w:fldSimple w:instr="[object Object]"/>
    <w:r>
      <w:rPr>
        <w:color w:val="595959"/>
        <w:sz w:val="18"/>
        <w:szCs w:val="18"/>
      </w:rPr>
      <w:t xml:space="preserve"> | Confidential — GoEMed.com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2"/>
      </w:pBdr>
      <w:jc w:val="right"/>
    </w:pPr>
    <w:r>
      <w:rPr>
        <w:color w:val="595959"/>
        <w:sz w:val="18"/>
        <w:szCs w:val="18"/>
      </w:rPr>
      <w:t xml:space="preserve">GoEMed Internship — Synthetic Health Data &amp; SLM | </w:t>
    </w:r>
    <w:r>
      <w:rPr>
        <w:color w:val="595959"/>
        <w:sz w:val="18"/>
        <w:szCs w:val="18"/>
      </w:rPr>
      <w:t xml:space="preserve">Deepak Badri | Summer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D9E75" w:sz="6" w:space="4"/>
      </w:pBdr>
      <w:spacing w:after="200" w:before="400"/>
    </w:pPr>
    <w:rPr>
      <w:rFonts w:ascii="Calibri" w:cs="Calibri" w:eastAsia="Calibri" w:hAnsi="Calibri"/>
      <w:b/>
      <w:bCs/>
      <w:color w:val="1E3A5F"/>
      <w:sz w:val="28"/>
      <w:szCs w:val="28"/>
    </w:rPr>
  </w:style>
  <w:style w:type="paragraph" w:styleId="Heading2">
    <w:name w:val="Heading 2"/>
    <w:basedOn w:val="Normal"/>
    <w:next w:val="Normal"/>
    <w:qFormat/>
    <w:pPr>
      <w:spacing w:after="150" w:before="300"/>
    </w:pPr>
    <w:rPr>
      <w:rFonts w:ascii="Calibri" w:cs="Calibri" w:eastAsia="Calibri" w:hAnsi="Calibri"/>
      <w:b/>
      <w:bCs/>
      <w:color w:val="2E6DA4"/>
      <w:sz w:val="24"/>
      <w:szCs w:val="24"/>
    </w:rPr>
  </w:style>
  <w:style w:type="paragraph" w:styleId="Heading3">
    <w:name w:val="Heading 3"/>
    <w:basedOn w:val="Normal"/>
    <w:next w:val="Normal"/>
    <w:qFormat/>
    <w:pPr>
      <w:spacing w:after="100" w:before="200"/>
    </w:pPr>
    <w:rPr>
      <w:rFonts w:ascii="Calibri" w:cs="Calibri" w:eastAsia="Calibri" w:hAnsi="Calibri"/>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Synthetic Health Data Generation &amp; SLM Training — Final Report</dc:title>
  <dc:creator>Deepak Badri</dc:creator>
  <dc:description>GoEMed Mathematics &amp; Statistics Internship — Summer 2026</dc:description>
  <cp:lastModifiedBy>Un-named</cp:lastModifiedBy>
  <cp:revision>1</cp:revision>
  <dcterms:created xsi:type="dcterms:W3CDTF">2026-07-26T21:48:42.262Z</dcterms:created>
  <dcterms:modified xsi:type="dcterms:W3CDTF">2026-07-26T21:48:42.275Z</dcterms:modified>
</cp:coreProperties>
</file>

<file path=docProps/custom.xml><?xml version="1.0" encoding="utf-8"?>
<Properties xmlns="http://schemas.openxmlformats.org/officeDocument/2006/custom-properties" xmlns:vt="http://schemas.openxmlformats.org/officeDocument/2006/docPropsVTypes"/>
</file>