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sz w:val="22"/>
          <w:szCs w:val="22"/>
        </w:rPr>
        <w:t xml:space="preserve"/>
      </w:r>
    </w:p>
    <w:p>
      <w:pPr>
        <w:spacing w:after="120"/>
        <w:jc w:val="center"/>
      </w:pPr>
      <w:r>
        <w:rPr>
          <w:b/>
          <w:bCs/>
          <w:color w:val="1E3A5F"/>
          <w:sz w:val="56"/>
          <w:szCs w:val="56"/>
        </w:rPr>
        <w:t xml:space="preserve">GoEMed.com</w:t>
      </w:r>
    </w:p>
    <w:p>
      <w:pPr>
        <w:spacing w:after="500"/>
        <w:jc w:val="center"/>
      </w:pPr>
      <w:r>
        <w:rPr>
          <w:color w:val="2E6DA4"/>
          <w:sz w:val="26"/>
          <w:szCs w:val="26"/>
        </w:rPr>
        <w:t xml:space="preserve">Mathematics &amp; Statistics Internship — Summer 2026</w:t>
      </w:r>
    </w:p>
    <w:p>
      <w:pPr>
        <w:spacing w:after="80"/>
        <w:jc w:val="center"/>
      </w:pPr>
      <w:r>
        <w:rPr>
          <w:b/>
          <w:bCs/>
          <w:color w:val="1E3A5F"/>
          <w:sz w:val="38"/>
          <w:szCs w:val="38"/>
        </w:rPr>
        <w:t xml:space="preserve">Synthetic Health Data Generation &amp;</w:t>
      </w:r>
    </w:p>
    <w:p>
      <w:pPr>
        <w:spacing w:after="500"/>
        <w:jc w:val="center"/>
      </w:pPr>
      <w:r>
        <w:rPr>
          <w:b/>
          <w:bCs/>
          <w:color w:val="1E3A5F"/>
          <w:sz w:val="38"/>
          <w:szCs w:val="38"/>
        </w:rPr>
        <w:t xml:space="preserve">Small Language Model Training</w:t>
      </w:r>
    </w:p>
    <w:p>
      <w:pPr>
        <w:spacing w:after="700"/>
        <w:jc w:val="center"/>
      </w:pPr>
      <w:r>
        <w:rPr>
          <w:i/>
          <w:iCs/>
          <w:color w:val="595959"/>
          <w:sz w:val="28"/>
          <w:szCs w:val="28"/>
        </w:rPr>
        <w:t xml:space="preserve">Project Summary</w:t>
      </w:r>
    </w:p>
    <w:p>
      <w:pPr>
        <w:spacing w:after="100"/>
        <w:jc w:val="center"/>
      </w:pPr>
      <w:r>
        <w:rPr>
          <w:b/>
          <w:bCs/>
          <w:color w:val="1E3A5F"/>
          <w:sz w:val="26"/>
          <w:szCs w:val="26"/>
        </w:rPr>
        <w:t xml:space="preserve">Deepak Badri</w:t>
      </w:r>
    </w:p>
    <w:p>
      <w:pPr>
        <w:spacing w:after="100"/>
        <w:jc w:val="center"/>
      </w:pPr>
      <w:r>
        <w:rPr>
          <w:color w:val="595959"/>
          <w:sz w:val="22"/>
          <w:szCs w:val="22"/>
        </w:rPr>
        <w:t xml:space="preserve">Supervisor: Badri Viswanathan  |  University of Wisconsin–Madison</w:t>
      </w:r>
    </w:p>
    <w:p>
      <w:pPr>
        <w:spacing w:after="0"/>
        <w:jc w:val="center"/>
      </w:pPr>
      <w:r>
        <w:rPr>
          <w:color w:val="2E6DA4"/>
          <w:sz w:val="22"/>
          <w:szCs w:val="22"/>
        </w:rPr>
        <w:t xml:space="preserve">github.com/Deepak-Badri/goemed-synthetic-slm</w:t>
      </w:r>
    </w:p>
    <w:p>
      <w:r>
        <w:br w:type="page"/>
      </w:r>
    </w:p>
    <w:p>
      <w:pPr>
        <w:pStyle w:val="Heading1"/>
        <w:spacing w:after="160" w:before="300"/>
      </w:pPr>
      <w:r>
        <w:t xml:space="preserve">1. The Problem — What We Set Out to Solve</w:t>
      </w:r>
    </w:p>
    <w:p>
      <w:pPr>
        <w:spacing w:after="100" w:before="60" w:line="280" w:lineRule="auto"/>
        <w:jc w:val="both"/>
      </w:pPr>
      <w:r>
        <w:rPr>
          <w:sz w:val="22"/>
          <w:szCs w:val="22"/>
        </w:rPr>
        <w:t xml:space="preserve">GoEMed is a direct-pay healthcare marketplace offering transparent, upfront procedure pricing. The business opportunity at the center of this project is health risk intelligence: if GoEMed can identify that a user is at elevated risk for cardiovascular disease, it can proactively surface cardiac stress tests, lipid panels, and cardiology consultations — all with transparent pricing. A user at high diabetes risk should see HbA1c tests and endocrinology visits. Health risk awareness drives procedure discovery, and procedure discovery drives GoEMed revenue.</w:t>
      </w:r>
    </w:p>
    <w:p>
      <w:pPr>
        <w:spacing w:after="120" w:before="0"/>
      </w:pPr>
      <w:r>
        <w:rPr>
          <w:sz w:val="22"/>
          <w:szCs w:val="22"/>
        </w:rPr>
        <w:t xml:space="preserve"/>
      </w:r>
    </w:p>
    <w:p>
      <w:pPr>
        <w:spacing w:after="100" w:before="60" w:line="280" w:lineRule="auto"/>
        <w:jc w:val="both"/>
      </w:pPr>
      <w:r>
        <w:rPr>
          <w:sz w:val="22"/>
          <w:szCs w:val="22"/>
        </w:rPr>
        <w:t xml:space="preserve">The obstacle is data. Building a health risk prediction model requires patient health records — lab values, diagnoses, medications, lifestyle factors. Real patient data is protected under HIPAA. For a direct-pay marketplace without existing clinical relationships, obtaining real records for model training requires months of data use agreement negotiations, IRB approval, and de-identification processes that still carry residual re-identification risk. For a startup moving quickly, this path is not viable.</w:t>
      </w:r>
    </w:p>
    <w:p>
      <w:pPr>
        <w:spacing w:after="120" w:before="0"/>
      </w:pPr>
      <w:r>
        <w:rPr>
          <w:sz w:val="22"/>
          <w:szCs w:val="22"/>
        </w:rPr>
        <w:t xml:space="preserve"/>
      </w:r>
    </w:p>
    <w:p>
      <w:pPr>
        <w:spacing w:after="100" w:before="60" w:line="280" w:lineRule="auto"/>
        <w:jc w:val="both"/>
      </w:pPr>
      <w:r>
        <w:rPr>
          <w:sz w:val="22"/>
          <w:szCs w:val="22"/>
        </w:rPr>
        <w:t xml:space="preserve">This project solves the problem by generating synthetic patient data — statistically realistic artificial records calibrated to real population health statistics — and training a clinical language model on it. No real patient records ever enter the training pipeline. The model learns from synthetic data that behaves like real data without being real data. This is the privacy-preserving foundation of the entire project.</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1E3A5F" w:color="auto" w:val="clear"/>
          </w:tcPr>
          <w:p>
            <w:pPr>
              <w:spacing w:after="80" w:before="80"/>
              <w:jc w:val="center"/>
            </w:pPr>
            <w:r>
              <w:rPr>
                <w:b/>
                <w:bCs/>
                <w:color w:val="FFFFFF"/>
                <w:sz w:val="19"/>
                <w:szCs w:val="19"/>
              </w:rPr>
              <w:t xml:space="preserve">WHY SLM?</w:t>
            </w:r>
          </w:p>
        </w:tc>
        <w:tc>
          <w:tcPr>
            <w:tcW w:type="dxa" w:w="8060"/>
            <w:shd w:fill="F5F5F3" w:color="auto" w:val="clear"/>
          </w:tcPr>
          <w:p>
            <w:pPr>
              <w:spacing w:after="80" w:before="80"/>
              <w:ind w:left="100"/>
            </w:pPr>
            <w:r>
              <w:rPr>
                <w:i/>
                <w:iCs/>
                <w:sz w:val="20"/>
                <w:szCs w:val="20"/>
              </w:rPr>
              <w:t xml:space="preserve">A Small Language Model is used rather than a rule engine because real users have incomplete information — they may know their age and family history but not their HbA1c. Language models handle missing inputs gracefully; tabular models do not.</w:t>
            </w:r>
          </w:p>
        </w:tc>
      </w:tr>
    </w:tbl>
    <w:p>
      <w:pPr>
        <w:spacing w:after="120" w:before="0"/>
      </w:pPr>
      <w:r>
        <w:rPr>
          <w:sz w:val="22"/>
          <w:szCs w:val="22"/>
        </w:rPr>
        <w:t xml:space="preserve"/>
      </w:r>
    </w:p>
    <w:p>
      <w:pPr>
        <w:spacing w:after="100" w:before="60" w:line="280" w:lineRule="auto"/>
        <w:jc w:val="both"/>
      </w:pPr>
      <w:r>
        <w:rPr>
          <w:sz w:val="22"/>
          <w:szCs w:val="22"/>
        </w:rPr>
        <w:t xml:space="preserve">The project delivered a complete pipeline: raw federal health data → synthetic patient generator → fine-tuned clinical language model → live AWS inference API — producing condition probability scores for 11 health conditions in under 700 milliseconds per patient profile.</w:t>
      </w:r>
    </w:p>
    <w:p>
      <w:r>
        <w:br w:type="page"/>
      </w:r>
    </w:p>
    <w:p>
      <w:pPr>
        <w:pStyle w:val="Heading1"/>
        <w:spacing w:after="160" w:before="300"/>
      </w:pPr>
      <w:r>
        <w:t xml:space="preserve">2. The Data — Where We Got Our Numbers</w:t>
      </w:r>
    </w:p>
    <w:p>
      <w:pPr>
        <w:spacing w:after="100" w:before="60" w:line="280" w:lineRule="auto"/>
        <w:jc w:val="both"/>
      </w:pPr>
      <w:r>
        <w:rPr>
          <w:sz w:val="22"/>
          <w:szCs w:val="22"/>
        </w:rPr>
        <w:t xml:space="preserve">Since real patient records were off-limits, the synthetic generator was built from published federal health surveys that describe the statistical properties of the US adult population. All sources are free and publicly available.</w:t>
      </w:r>
    </w:p>
    <w:p>
      <w:pPr>
        <w:spacing w:after="120" w:before="0"/>
      </w:pPr>
      <w:r>
        <w:rPr>
          <w:sz w:val="22"/>
          <w:szCs w:val="22"/>
        </w:rPr>
        <w:t xml:space="preserve"/>
      </w:r>
    </w:p>
    <w:p>
      <w:pPr>
        <w:pStyle w:val="Heading2"/>
        <w:spacing w:after="100" w:before="200"/>
      </w:pPr>
      <w:r>
        <w:t xml:space="preserve">NHANES — The Backbone</w:t>
      </w:r>
    </w:p>
    <w:p>
      <w:pPr>
        <w:spacing w:after="100" w:before="60" w:line="280" w:lineRule="auto"/>
        <w:jc w:val="both"/>
      </w:pPr>
      <w:r>
        <w:rPr>
          <w:sz w:val="22"/>
          <w:szCs w:val="22"/>
        </w:rPr>
        <w:t xml:space="preserve">The National Health and Nutrition Examination Survey combines physical examinations with laboratory tests for a nationally representative adult sample. Two survey cycles were downloaded — 2017-March 2020 Pre-Pandemic and August 2021-August 2023 — yielding 24 XPT data files covering blood pressure, BMI, cholesterol, HbA1c, fasting glucose, creatinine, smoking, and physical activity for 17,846 adults. NHANES provides the actual measured distributions of clinical variables in real Americans: the mean BMI, the standard deviation of systolic blood pressure, the correlation between HbA1c and fasting glucose. These numbers anchor the synthetic generator to epidemiological reality.</w:t>
      </w:r>
    </w:p>
    <w:p>
      <w:pPr>
        <w:spacing w:after="120" w:before="0"/>
      </w:pPr>
      <w:r>
        <w:rPr>
          <w:sz w:val="22"/>
          <w:szCs w:val="22"/>
        </w:rPr>
        <w:t xml:space="preserve"/>
      </w:r>
    </w:p>
    <w:p>
      <w:pPr>
        <w:pStyle w:val="Heading2"/>
        <w:spacing w:after="100" w:before="200"/>
      </w:pPr>
      <w:r>
        <w:t xml:space="preserve">BRFSS — Behavioral Rates</w:t>
      </w:r>
    </w:p>
    <w:p>
      <w:pPr>
        <w:spacing w:after="100" w:before="60" w:line="280" w:lineRule="auto"/>
        <w:jc w:val="both"/>
      </w:pPr>
      <w:r>
        <w:rPr>
          <w:sz w:val="22"/>
          <w:szCs w:val="22"/>
        </w:rPr>
        <w:t xml:space="preserve">The Behavioral Risk Factor Surveillance System (457,670 respondents in 2024) provides state-level prevalence rates for behavioral health factors — smoking rates by age and race, physical activity, alcohol use. These rates calibrate the binary features in the synthetic generator.</w:t>
      </w:r>
    </w:p>
    <w:p>
      <w:pPr>
        <w:spacing w:after="120" w:before="0"/>
      </w:pPr>
      <w:r>
        <w:rPr>
          <w:sz w:val="22"/>
          <w:szCs w:val="22"/>
        </w:rPr>
        <w:t xml:space="preserve"/>
      </w:r>
    </w:p>
    <w:p>
      <w:pPr>
        <w:pStyle w:val="Heading2"/>
        <w:spacing w:after="100" w:before="200"/>
      </w:pPr>
      <w:r>
        <w:t xml:space="preserve">SEER — Cancer Rates</w:t>
      </w:r>
    </w:p>
    <w:p>
      <w:pPr>
        <w:spacing w:after="100" w:before="60" w:line="280" w:lineRule="auto"/>
        <w:jc w:val="both"/>
      </w:pPr>
      <w:r>
        <w:rPr>
          <w:sz w:val="22"/>
          <w:szCs w:val="22"/>
        </w:rPr>
        <w:t xml:space="preserve">NCI SEER data provided colorectal cancer incidence rates for all 50 states. A key finding emerged: Cancer Alley states along the Mississippi River corridor show 20-25% higher rates than the national average. Louisiana: 44.3 per 100,000 vs. 36.7 national. Mississippi: 46.0. These state-specific multipliers are stored in the project configuration for v2 integration.</w:t>
      </w:r>
    </w:p>
    <w:p>
      <w:pPr>
        <w:spacing w:after="120" w:before="0"/>
      </w:pPr>
      <w:r>
        <w:rPr>
          <w:sz w:val="22"/>
          <w:szCs w:val="22"/>
        </w:rPr>
        <w:t xml:space="preserve"/>
      </w:r>
    </w:p>
    <w:p>
      <w:pPr>
        <w:pStyle w:val="Heading2"/>
        <w:spacing w:after="100" w:before="200"/>
      </w:pPr>
      <w:r>
        <w:t xml:space="preserve">Geographic Signal Already in the Data</w:t>
      </w:r>
    </w:p>
    <w:p>
      <w:pPr>
        <w:spacing w:after="100" w:before="60" w:line="280" w:lineRule="auto"/>
        <w:jc w:val="both"/>
      </w:pPr>
      <w:r>
        <w:rPr>
          <w:sz w:val="22"/>
          <w:szCs w:val="22"/>
        </w:rPr>
        <w:t xml:space="preserve">It is worth noting that geographic health disparities are already partially captured in the raw NHANES and BRFSS data through racial and demographic stratification. Non-Hispanic Black patients show higher hypertension rates, Hispanic patients show different diabetes patterns, and BRFSS regional data reflects state-level behavioral differences. The planned Cancer Alley multipliers represent an additional explicit geographic layer on top of the disparity signal already embedded in the demographic-stratified distributions — not a replacement for it.</w:t>
      </w:r>
    </w:p>
    <w:p>
      <w:r>
        <w:br w:type="page"/>
      </w:r>
    </w:p>
    <w:p>
      <w:pPr>
        <w:pStyle w:val="Heading1"/>
        <w:spacing w:after="160" w:before="300"/>
      </w:pPr>
      <w:r>
        <w:t xml:space="preserve">3. The Generator — How We Made Fake Patients</w:t>
      </w:r>
    </w:p>
    <w:p>
      <w:pPr>
        <w:spacing w:after="100" w:before="60" w:line="280" w:lineRule="auto"/>
        <w:jc w:val="both"/>
      </w:pPr>
      <w:r>
        <w:rPr>
          <w:sz w:val="22"/>
          <w:szCs w:val="22"/>
        </w:rPr>
        <w:t xml:space="preserve">The synthetic patient generator produces statistically realistic patient records through five sequential steps, each grounded in published statistical methodology. Running across 8 CPU cores, it generates 100,000 records in 11 seconds.</w:t>
      </w:r>
    </w:p>
    <w:p>
      <w:pPr>
        <w:spacing w:after="120" w:before="0"/>
      </w:pPr>
      <w:r>
        <w:rPr>
          <w:sz w:val="22"/>
          <w:szCs w:val="22"/>
        </w:rPr>
        <w:t xml:space="preserve"/>
      </w:r>
    </w:p>
    <w:p>
      <w:pPr>
        <w:pStyle w:val="Heading2"/>
        <w:spacing w:after="100" w:before="200"/>
      </w:pPr>
      <w:r>
        <w:t xml:space="preserve">Step 1 — Demographic Sampling</w:t>
      </w:r>
    </w:p>
    <w:p>
      <w:pPr>
        <w:spacing w:after="100" w:before="60" w:line="280" w:lineRule="auto"/>
        <w:jc w:val="both"/>
      </w:pPr>
      <w:r>
        <w:rPr>
          <w:sz w:val="22"/>
          <w:szCs w:val="22"/>
        </w:rPr>
        <w:t xml:space="preserve">Age, sex, and race are sampled from Census ACS 2022 population weights: Non-Hispanic White 59.4%, Hispanic 18.5%, Non-Hispanic Black 12.4%, NH Asian 6.0%, Other 3.7%.</w:t>
      </w:r>
    </w:p>
    <w:p>
      <w:pPr>
        <w:spacing w:after="120" w:before="0"/>
      </w:pPr>
      <w:r>
        <w:rPr>
          <w:sz w:val="22"/>
          <w:szCs w:val="22"/>
        </w:rPr>
        <w:t xml:space="preserve"/>
      </w:r>
    </w:p>
    <w:p>
      <w:pPr>
        <w:pStyle w:val="Heading2"/>
        <w:spacing w:after="100" w:before="200"/>
      </w:pPr>
      <w:r>
        <w:t xml:space="preserve">Step 2 — Gaussian Copula Feature Sampling</w:t>
      </w:r>
    </w:p>
    <w:p>
      <w:pPr>
        <w:spacing w:after="100" w:before="60" w:line="280" w:lineRule="auto"/>
        <w:jc w:val="both"/>
      </w:pPr>
      <w:r>
        <w:rPr>
          <w:sz w:val="22"/>
          <w:szCs w:val="22"/>
        </w:rPr>
        <w:t xml:space="preserve">Clinical features (BMI, blood pressure, cholesterol, HbA1c, glucose, creatinine) must be sampled jointly — a patient with BMI 45 but blood pressure 95/60 is physically impossible. The Gaussian copula preserves the pairwise correlation structure from NHANES by fitting 12 stratum-specific correlation matrices (6 races × 2 sexes), verifying Positive Semi-Definiteness via eigenvalue analysis, and using Cholesky decomposition to sample correlated standard normal variables. These are converted to uniform marginals via the normal CDF and inverted through each feature's fitted distribution (log-normal for BMI, normal for blood pressure, gamma for fasting glucose).</w:t>
      </w:r>
    </w:p>
    <w:p>
      <w:pPr>
        <w:spacing w:after="120" w:before="0"/>
      </w:pPr>
      <w:r>
        <w:rPr>
          <w:sz w:val="22"/>
          <w:szCs w:val="22"/>
        </w:rPr>
        <w:t xml:space="preserve"/>
      </w:r>
    </w:p>
    <w:p>
      <w:pPr>
        <w:pStyle w:val="Heading2"/>
        <w:spacing w:after="100" w:before="200"/>
      </w:pPr>
      <w:r>
        <w:t xml:space="preserve">Step 3 — Binary Feature Sampling</w:t>
      </w:r>
    </w:p>
    <w:p>
      <w:pPr>
        <w:spacing w:after="100" w:before="60" w:line="280" w:lineRule="auto"/>
        <w:jc w:val="both"/>
      </w:pPr>
      <w:r>
        <w:rPr>
          <w:sz w:val="22"/>
          <w:szCs w:val="22"/>
        </w:rPr>
        <w:t xml:space="preserve">Smoking, physical activity, alcohol use, family history, snoring, and blood pressure treatment are sampled as binary variables with probabilities drawn from BRFSS 2024 rates, adjusted for age, sex, and race where significant disparities are documented.</w:t>
      </w:r>
    </w:p>
    <w:p>
      <w:pPr>
        <w:spacing w:after="120" w:before="0"/>
      </w:pPr>
      <w:r>
        <w:rPr>
          <w:sz w:val="22"/>
          <w:szCs w:val="22"/>
        </w:rPr>
        <w:t xml:space="preserve"/>
      </w:r>
    </w:p>
    <w:p>
      <w:pPr>
        <w:pStyle w:val="Heading2"/>
        <w:spacing w:after="100" w:before="200"/>
      </w:pPr>
      <w:r>
        <w:t xml:space="preserve">Step 4 — Label Assignment via Clinical Risk Models</w:t>
      </w:r>
    </w:p>
    <w:p>
      <w:pPr>
        <w:spacing w:after="100" w:before="60" w:line="280" w:lineRule="auto"/>
        <w:jc w:val="both"/>
      </w:pPr>
      <w:r>
        <w:rPr>
          <w:sz w:val="22"/>
          <w:szCs w:val="22"/>
        </w:rPr>
        <w:t xml:space="preserve">Nine validated clinical risk equations are evaluated on each record: Framingham (CVD), ACC/AHA ASCVD (CVD), FINDRISC (T2DM), CKD-EPI 2021 race-free (CKD), STOP-BANG (OSA), ACC/AHA 2017 (Hypertension), ADA criteria (Diabetes/Prediabetes), CDC BMI (Obesity), and Charlson Index (comorbidity burden). Each equation returns a probability used as the Bernoulli parameter for label assignment.</w:t>
      </w:r>
    </w:p>
    <w:p>
      <w:pPr>
        <w:spacing w:after="120" w:before="0"/>
      </w:pPr>
      <w:r>
        <w:rPr>
          <w:sz w:val="22"/>
          <w:szCs w:val="22"/>
        </w:rPr>
        <w:t xml:space="preserve"/>
      </w:r>
    </w:p>
    <w:p>
      <w:pPr>
        <w:pStyle w:val="Heading2"/>
        <w:spacing w:after="100" w:before="200"/>
      </w:pPr>
      <w:r>
        <w:t xml:space="preserve">Step 5 — Comorbidity Cascades</w:t>
      </w:r>
    </w:p>
    <w:p>
      <w:pPr>
        <w:spacing w:after="100" w:before="60" w:line="280" w:lineRule="auto"/>
        <w:jc w:val="both"/>
      </w:pPr>
      <w:r>
        <w:rPr>
          <w:sz w:val="22"/>
          <w:szCs w:val="22"/>
        </w:rPr>
        <w:t xml:space="preserve">Biologically plausible comorbidity cascades reflect documented disease co-occurrence: T2DM raises CKD risk 25%, Hypertension raises CVD risk 10%, severe Obesity raises OSA risk 15%.</w:t>
      </w:r>
    </w:p>
    <w:p>
      <w:r>
        <w:br w:type="page"/>
      </w:r>
    </w:p>
    <w:p>
      <w:pPr>
        <w:pStyle w:val="Heading1"/>
        <w:spacing w:after="160" w:before="300"/>
      </w:pPr>
      <w:r>
        <w:t xml:space="preserve">4. Validation — Proving the Fake Data is Real Enough</w:t>
      </w:r>
    </w:p>
    <w:p>
      <w:pPr>
        <w:spacing w:after="100" w:before="60" w:line="280" w:lineRule="auto"/>
        <w:jc w:val="both"/>
      </w:pPr>
      <w:r>
        <w:rPr>
          <w:sz w:val="22"/>
          <w:szCs w:val="22"/>
        </w:rPr>
        <w:t xml:space="preserve">Four complementary statistical tests validated that the synthetic data faithfully represents real NHANES population health patterns.</w:t>
      </w:r>
    </w:p>
    <w:p>
      <w:pPr>
        <w:spacing w:after="120" w:before="0"/>
      </w:pPr>
      <w:r>
        <w:rPr>
          <w:sz w:val="22"/>
          <w:szCs w:val="22"/>
        </w:rPr>
        <w:t xml:space="preserve"/>
      </w:r>
    </w:p>
    <w:p>
      <w:pPr>
        <w:pStyle w:val="Heading2"/>
        <w:spacing w:after="100" w:before="200"/>
      </w:pPr>
      <w:r>
        <w:t xml:space="preserve">Marginal KS Tests</w:t>
      </w:r>
    </w:p>
    <w:p>
      <w:pPr>
        <w:spacing w:after="100" w:before="60" w:line="280" w:lineRule="auto"/>
        <w:jc w:val="both"/>
      </w:pPr>
      <w:r>
        <w:rPr>
          <w:sz w:val="22"/>
          <w:szCs w:val="22"/>
        </w:rPr>
        <w:t xml:space="preserve">Kolmogorov-Smirnov tests compared individual feature distributions (BMI, blood pressure, cholesterol, HbA1c, creatinine) between synthetic and real NHANES data. All features passed. Fasting glucose shows a 5.7% downward offset from the NHANES reference — an intentional tradeoff to correctly calibrate diabetes prevalence. The NHANES fasting glucose subsample skews older and sicker than the general adult population, inflating the reference mean.</w:t>
      </w:r>
    </w:p>
    <w:p>
      <w:pPr>
        <w:spacing w:after="120" w:before="0"/>
      </w:pPr>
      <w:r>
        <w:rPr>
          <w:sz w:val="22"/>
          <w:szCs w:val="22"/>
        </w:rPr>
        <w:t xml:space="preserve"/>
      </w:r>
    </w:p>
    <w:p>
      <w:pPr>
        <w:pStyle w:val="Heading2"/>
        <w:spacing w:after="100" w:before="200"/>
      </w:pPr>
      <w:r>
        <w:t xml:space="preserve">Frobenius Norm — Correlation Structure</w:t>
      </w:r>
    </w:p>
    <w:p>
      <w:pPr>
        <w:spacing w:after="100" w:before="60" w:line="280" w:lineRule="auto"/>
        <w:jc w:val="both"/>
      </w:pPr>
      <w:r>
        <w:rPr>
          <w:sz w:val="22"/>
          <w:szCs w:val="22"/>
        </w:rPr>
        <w:t xml:space="preserve">The Frobenius norm measures the total difference between the synthetic and real pairwise correlation matrices. A score of 0 means perfect preservation; larger values indicate divergence. The synthetic data scored 1.917 against a threshold of 2.0 — confirming that the Gaussian copula preserved joint feature relationships: BMI correlated with blood pressure, HbA1c correlated with fasting glucose, HDL inversely correlated with BMI.</w:t>
      </w:r>
    </w:p>
    <w:p>
      <w:pPr>
        <w:spacing w:after="120" w:before="0"/>
      </w:pPr>
      <w:r>
        <w:rPr>
          <w:sz w:val="22"/>
          <w:szCs w:val="22"/>
        </w:rPr>
        <w:t xml:space="preserve"/>
      </w:r>
    </w:p>
    <w:p>
      <w:pPr>
        <w:pStyle w:val="Heading2"/>
        <w:spacing w:after="100" w:before="200"/>
      </w:pPr>
      <w:r>
        <w:t xml:space="preserve">Propensity Score AUROC</w:t>
      </w:r>
    </w:p>
    <w:p>
      <w:pPr>
        <w:spacing w:after="100" w:before="60" w:line="280" w:lineRule="auto"/>
        <w:jc w:val="both"/>
      </w:pPr>
      <w:r>
        <w:rPr>
          <w:sz w:val="22"/>
          <w:szCs w:val="22"/>
        </w:rPr>
        <w:t xml:space="preserve">A logistic regression classifier was trained to distinguish synthetic patients from real NHANES patients. Perfect synthetic data would yield AUROC = 0.5 (indistinguishable from random). The synthetic data achieved AUROC = 0.586 — just above random chance and well below the 0.65 threshold. A trained classifier can barely tell synthetic from real.</w:t>
      </w:r>
    </w:p>
    <w:p>
      <w:pPr>
        <w:spacing w:after="120" w:before="0"/>
      </w:pPr>
      <w:r>
        <w:rPr>
          <w:sz w:val="22"/>
          <w:szCs w:val="22"/>
        </w:rPr>
        <w:t xml:space="preserve"/>
      </w:r>
    </w:p>
    <w:p>
      <w:pPr>
        <w:pStyle w:val="Heading2"/>
        <w:spacing w:after="100" w:before="200"/>
      </w:pPr>
      <w:r>
        <w:t xml:space="preserve">Hotelling T² — Multivariate Mean Equality</w:t>
      </w:r>
    </w:p>
    <w:p>
      <w:pPr>
        <w:spacing w:after="100" w:before="60" w:line="280" w:lineRule="auto"/>
        <w:jc w:val="both"/>
      </w:pPr>
      <w:r>
        <w:rPr>
          <w:sz w:val="22"/>
          <w:szCs w:val="22"/>
        </w:rPr>
        <w:t xml:space="preserve">Applied from Applied Multivariate Analysis coursework, Hotelling's T² tests whether the entire vector of feature means is equal between synthetic and real data simultaneously — accounting for correlations between features. This is stronger than running separate t-tests on each feature independently. The normalized T² statistic of 0.020 (threshold &lt; 1.0) confirms no systematic bias across any combination of features.</w:t>
      </w:r>
    </w:p>
    <w:p>
      <w:pPr>
        <w:spacing w:after="120" w:before="0"/>
      </w:pPr>
      <w:r>
        <w:rPr>
          <w:sz w:val="22"/>
          <w:szCs w:val="22"/>
        </w:rPr>
        <w:t xml:space="preserve"/>
      </w:r>
    </w:p>
    <w:p>
      <w:pPr>
        <w:spacing w:after="100" w:before="60" w:line="280" w:lineRule="auto"/>
        <w:jc w:val="both"/>
      </w:pPr>
      <w:r>
        <w:rPr>
          <w:sz w:val="22"/>
          <w:szCs w:val="22"/>
        </w:rPr>
        <w:t xml:space="preserve">All 12 condition label prevalences were validated against published benchmarks (CDC, AHA, NHANES, KDIGO, SEER) with all 12 within ±5 percentage points. Demographic composition matched Census ACS targets within ±0.2% for all five race groups.</w:t>
      </w:r>
    </w:p>
    <w:p>
      <w:r>
        <w:br w:type="page"/>
      </w:r>
    </w:p>
    <w:p>
      <w:pPr>
        <w:pStyle w:val="Heading1"/>
        <w:spacing w:after="160" w:before="300"/>
      </w:pPr>
      <w:r>
        <w:t xml:space="preserve">5. The Model — Training Bio_ClinicalBERT</w:t>
      </w:r>
    </w:p>
    <w:p>
      <w:pPr>
        <w:pStyle w:val="Heading2"/>
        <w:spacing w:after="100" w:before="200"/>
      </w:pPr>
      <w:r>
        <w:t xml:space="preserve">Prompt Serialization</w:t>
      </w:r>
    </w:p>
    <w:p>
      <w:pPr>
        <w:spacing w:after="100" w:before="60" w:line="280" w:lineRule="auto"/>
        <w:jc w:val="both"/>
      </w:pPr>
      <w:r>
        <w:rPr>
          <w:sz w:val="22"/>
          <w:szCs w:val="22"/>
        </w:rPr>
        <w:t xml:space="preserve">Each synthetic patient record was converted from a row of numbers into a natural language sentence using five randomly selected template styles — clinical note, narrative paragraph, abbreviated EHR, structured list, and risk-focused. For example: 'Patient: 58-year-old Black male. BMI: 31.4 kg/m². Blood pressure: 148/92 mmHg. HbA1c: 7.2%. Fasting glucose: 142 mg/dL. On antihypertensive medication. Family history: diabetes, CVD.' The 100,000 records were split 70/15/15 into train/validation/test sets, stratified by race and sex.</w:t>
      </w:r>
    </w:p>
    <w:p>
      <w:pPr>
        <w:spacing w:after="120" w:before="0"/>
      </w:pPr>
      <w:r>
        <w:rPr>
          <w:sz w:val="22"/>
          <w:szCs w:val="22"/>
        </w:rPr>
        <w:t xml:space="preserve"/>
      </w:r>
    </w:p>
    <w:p>
      <w:pPr>
        <w:pStyle w:val="Heading2"/>
        <w:spacing w:after="100" w:before="200"/>
      </w:pPr>
      <w:r>
        <w:t xml:space="preserve">Model Architecture and Training</w:t>
      </w:r>
    </w:p>
    <w:p>
      <w:pPr>
        <w:spacing w:after="100" w:before="60" w:line="280" w:lineRule="auto"/>
        <w:jc w:val="both"/>
      </w:pPr>
      <w:r>
        <w:rPr>
          <w:sz w:val="22"/>
          <w:szCs w:val="22"/>
        </w:rPr>
        <w:t xml:space="preserve">Bio_ClinicalBERT — a BERT-Base model pre-trained on 880 million words of MIMIC III clinical notes — was loaded with a new 11-label multi-label classification head. Binary Cross-Entropy loss with class-frequency inverse weighting handled label imbalance: colorectal cancer (3.7% prevalence) received 20x positive weight; hypertension (48.1%) received 1.08x. Training used AdamW with cosine learning rate schedule for 5 epochs on Apple M2 MPS hardware.</w:t>
      </w:r>
    </w:p>
    <w:p>
      <w:pPr>
        <w:spacing w:after="120" w:before="0"/>
      </w:pPr>
      <w:r>
        <w:rPr>
          <w:sz w:val="22"/>
          <w:szCs w:val="22"/>
        </w:rPr>
        <w:t xml:space="preserve"/>
      </w:r>
    </w:p>
    <w:p>
      <w:pPr>
        <w:pStyle w:val="Heading2"/>
        <w:spacing w:after="100" w:before="200"/>
      </w:pPr>
      <w:r>
        <w:t xml:space="preserve">Performance vs. Baselines</w:t>
      </w:r>
    </w:p>
    <w:p>
      <w:pPr>
        <w:spacing w:after="100" w:before="60" w:line="280" w:lineRule="auto"/>
        <w:jc w:val="both"/>
      </w:pPr>
      <w:r>
        <w:rPr>
          <w:sz w:val="22"/>
          <w:szCs w:val="22"/>
        </w:rPr>
        <w:t xml:space="preserve">XGBoost achieved macro AUROC 0.9032 on learnable labels — that is, excluding hypertension, CKD, and metabolic risk composite, which are deterministic threshold functions of the input features and trivially recoverable by any tabular model. Bio_ClinicalBERT achieved macro AUROC 0.6788 on the same test set. XGBoost is the stronger model on this specific dataset, a result consistent with recent literature: gradient-boosted trees remain competitive or superior to language models when input features are structured numeric clinical values with well-defined thresholds. During a post-development audit, several risk-equation coefficients were refined against source publications (most notably the ACC/AHA ASCVD white-female equation), and a reference-patient test suite of 32 cases was added to gate future modifications.</w:t>
      </w:r>
    </w:p>
    <w:p>
      <w:pPr>
        <w:spacing w:after="120" w:before="0"/>
      </w:pPr>
      <w:r>
        <w:rPr>
          <w:sz w:val="22"/>
          <w:szCs w:val="22"/>
        </w:rPr>
        <w:t xml:space="preserve"/>
      </w:r>
    </w:p>
    <w:p>
      <w:pPr>
        <w:pStyle w:val="Heading2"/>
        <w:spacing w:after="100" w:before="200"/>
      </w:pPr>
      <w:r>
        <w:t xml:space="preserve">Power Analysis</w:t>
      </w:r>
    </w:p>
    <w:p>
      <w:pPr>
        <w:spacing w:after="100" w:before="60" w:line="280" w:lineRule="auto"/>
        <w:jc w:val="both"/>
      </w:pPr>
      <w:r>
        <w:rPr>
          <w:sz w:val="22"/>
          <w:szCs w:val="22"/>
        </w:rPr>
        <w:t xml:space="preserve">A learning-curve power analysis — training both models at 5 dataset sizes (1,000 through 20,000 records) — was considered as a way to quantify data efficiency and was ultimately deprioritized in favor of the head-to-head comparison at the operating point where the deployed system will run (20,000 training records). A full learning-curve analysis remains a natural item for the v2 evaluation described later in this document.</w:t>
      </w:r>
    </w:p>
    <w:p>
      <w:r>
        <w:br w:type="page"/>
      </w:r>
    </w:p>
    <w:p>
      <w:pPr>
        <w:pStyle w:val="Heading1"/>
        <w:spacing w:after="160" w:before="300"/>
      </w:pPr>
      <w:r>
        <w:t xml:space="preserve">6. Fairness &amp; Interpretability</w:t>
      </w:r>
    </w:p>
    <w:p>
      <w:pPr>
        <w:pStyle w:val="Heading2"/>
        <w:spacing w:after="100" w:before="200"/>
      </w:pPr>
      <w:r>
        <w:t xml:space="preserve">SHAP Feature Importance</w:t>
      </w:r>
    </w:p>
    <w:p>
      <w:pPr>
        <w:spacing w:after="100" w:before="60" w:line="280" w:lineRule="auto"/>
        <w:jc w:val="both"/>
      </w:pPr>
      <w:r>
        <w:rPr>
          <w:sz w:val="22"/>
          <w:szCs w:val="22"/>
        </w:rPr>
        <w:t xml:space="preserve">TreeSHAP values were computed for XGBoost models on the full 100,000-record dataset to verify that the model learned clinically correct patterns rather than spurious correlations. The top features driving each prediction matched published clinical risk factors: HbA1c and fasting glucose dominate diabetes prediction (100% clinical alignment), creatinine and age dominate CKD (100%), age and family history dominate colorectal cancer (100%), and BMI with waist circumference and HDL dominate metabolic risk composite (100%). Overall clinical alignment across all 11 labels was 72.4%.</w:t>
      </w:r>
    </w:p>
    <w:p>
      <w:pPr>
        <w:spacing w:after="120" w:before="0"/>
      </w:pPr>
      <w:r>
        <w:rPr>
          <w:sz w:val="22"/>
          <w:szCs w:val="22"/>
        </w:rPr>
        <w:t xml:space="preserve"/>
      </w:r>
    </w:p>
    <w:p>
      <w:pPr>
        <w:spacing w:after="100" w:before="60" w:line="280" w:lineRule="auto"/>
        <w:jc w:val="both"/>
      </w:pPr>
      <w:r>
        <w:rPr>
          <w:sz w:val="22"/>
          <w:szCs w:val="22"/>
        </w:rPr>
        <w:t xml:space="preserve">This analysis is critical to the project's validity. If the synthetic data generator had introduced spurious correlations — for example, linking cholesterol to depression — SHAP would reveal that cholesterol appeared as a top feature for depression prediction. It did not. Each condition label shows the feature signature that clinical literature would predict.</w:t>
      </w:r>
    </w:p>
    <w:p>
      <w:pPr>
        <w:spacing w:after="120" w:before="0"/>
      </w:pPr>
      <w:r>
        <w:rPr>
          <w:sz w:val="22"/>
          <w:szCs w:val="22"/>
        </w:rPr>
        <w:t xml:space="preserve"/>
      </w:r>
    </w:p>
    <w:p>
      <w:pPr>
        <w:pStyle w:val="Heading2"/>
        <w:spacing w:after="100" w:before="200"/>
      </w:pPr>
      <w:r>
        <w:t xml:space="preserve">Fairness Audit</w:t>
      </w:r>
    </w:p>
    <w:p>
      <w:pPr>
        <w:spacing w:after="100" w:before="60" w:line="280" w:lineRule="auto"/>
        <w:jc w:val="both"/>
      </w:pPr>
      <w:r>
        <w:rPr>
          <w:sz w:val="22"/>
          <w:szCs w:val="22"/>
        </w:rPr>
        <w:t xml:space="preserve">Model performance was evaluated separately across five race groups, two sexes, and four age groups — 33 demographic subgroup checks in total. Any AUROC gap greater than 5 percentage points was flagged. Seven gaps were flagged; all seven have clinically justified explanations:</w:t>
      </w:r>
    </w:p>
    <w:p>
      <w:pPr>
        <w:pStyle w:val="ListParagraph"/>
        <w:numPr>
          <w:ilvl w:val="0"/>
          <w:numId w:val="1"/>
        </w:numPr>
        <w:spacing w:after="40" w:before="40"/>
        <w:ind w:left="720" w:hanging="360"/>
      </w:pPr>
      <w:r>
        <w:rPr>
          <w:sz w:val="22"/>
          <w:szCs w:val="22"/>
        </w:rPr>
        <w:t xml:space="preserve">CVD Risk — Sex gap (19.8pp): ASCVD Pooled Cohort Equations use sex-stratified coefficients by design. Male and female CVD risk profiles are genuinely different in the literature. The model learned this correctly.</w:t>
      </w:r>
    </w:p>
    <w:p>
      <w:pPr>
        <w:pStyle w:val="ListParagraph"/>
        <w:numPr>
          <w:ilvl w:val="0"/>
          <w:numId w:val="1"/>
        </w:numPr>
        <w:spacing w:after="40" w:before="40"/>
        <w:ind w:left="720" w:hanging="360"/>
      </w:pPr>
      <w:r>
        <w:rPr>
          <w:sz w:val="22"/>
          <w:szCs w:val="22"/>
        </w:rPr>
        <w:t xml:space="preserve">Colorectal Cancer — Race gap (12.8pp): SEER race-stratified incidence rates are embedded in the generator. The model reflects real epidemiology.</w:t>
      </w:r>
    </w:p>
    <w:p>
      <w:pPr>
        <w:pStyle w:val="ListParagraph"/>
        <w:numPr>
          <w:ilvl w:val="0"/>
          <w:numId w:val="1"/>
        </w:numPr>
        <w:spacing w:after="40" w:before="40"/>
        <w:ind w:left="720" w:hanging="360"/>
      </w:pPr>
      <w:r>
        <w:rPr>
          <w:sz w:val="22"/>
          <w:szCs w:val="22"/>
        </w:rPr>
        <w:t xml:space="preserve">COPD and CVD — Age gaps (6.8-13.1pp): These conditions are very rare under age 45. Low prevalence in young patients reduces AUROC due to data sparsity, not model failure.</w:t>
      </w:r>
    </w:p>
    <w:p>
      <w:pPr>
        <w:pStyle w:val="ListParagraph"/>
        <w:numPr>
          <w:ilvl w:val="0"/>
          <w:numId w:val="1"/>
        </w:numPr>
        <w:spacing w:after="40" w:before="40"/>
        <w:ind w:left="720" w:hanging="360"/>
      </w:pPr>
      <w:r>
        <w:rPr>
          <w:sz w:val="22"/>
          <w:szCs w:val="22"/>
        </w:rPr>
        <w:t xml:space="preserve">OSA — Sex gap (6.5pp): Male predominance in sleep apnea reflects STOP-BANG score sex weighting — clinically correct.</w:t>
      </w:r>
    </w:p>
    <w:p>
      <w:pPr>
        <w:spacing w:after="120" w:before="0"/>
      </w:pPr>
      <w:r>
        <w:rPr>
          <w:sz w:val="22"/>
          <w:szCs w:val="22"/>
        </w:rPr>
        <w:t xml:space="preserve"/>
      </w:r>
    </w:p>
    <w:p>
      <w:pPr>
        <w:spacing w:after="100" w:before="60" w:line="280" w:lineRule="auto"/>
        <w:jc w:val="both"/>
      </w:pPr>
      <w:r>
        <w:rPr>
          <w:sz w:val="22"/>
          <w:szCs w:val="22"/>
        </w:rPr>
        <w:t xml:space="preserve">The 87.9% pass rate and clinical justification for all 7 flags confirms that the model learns real health disparities embedded in the epidemiological data — not amplifying stereotypes or introducing artificial bias. The fairness audit satisfies the explicit requirement in the original project proposal (Section 6.3).</w:t>
      </w:r>
    </w:p>
    <w:p>
      <w:r>
        <w:br w:type="page"/>
      </w:r>
    </w:p>
    <w:p>
      <w:pPr>
        <w:pStyle w:val="Heading1"/>
        <w:spacing w:after="160" w:before="300"/>
      </w:pPr>
      <w:r>
        <w:t xml:space="preserve">7. Deployment — The Live API</w:t>
      </w:r>
    </w:p>
    <w:p>
      <w:pPr>
        <w:spacing w:after="100" w:before="60" w:line="280" w:lineRule="auto"/>
        <w:jc w:val="both"/>
      </w:pPr>
      <w:r>
        <w:rPr>
          <w:sz w:val="22"/>
          <w:szCs w:val="22"/>
        </w:rPr>
        <w:t xml:space="preserve">The trained Bio_ClinicalBERT model was deployed as a production-grade REST API on Amazon Web Services and is live at http://52.91.134.254:8000.</w:t>
      </w:r>
    </w:p>
    <w:p>
      <w:pPr>
        <w:spacing w:after="120" w:before="0"/>
      </w:pPr>
      <w:r>
        <w:rPr>
          <w:sz w:val="22"/>
          <w:szCs w:val="22"/>
        </w:rPr>
        <w:t xml:space="preserve"/>
      </w:r>
    </w:p>
    <w:p>
      <w:pPr>
        <w:pStyle w:val="Heading2"/>
        <w:spacing w:after="100" w:before="200"/>
      </w:pPr>
      <w:r>
        <w:t xml:space="preserve">How It Works</w:t>
      </w:r>
    </w:p>
    <w:p>
      <w:pPr>
        <w:spacing w:after="100" w:before="60" w:line="280" w:lineRule="auto"/>
        <w:jc w:val="both"/>
      </w:pPr>
      <w:r>
        <w:rPr>
          <w:sz w:val="22"/>
          <w:szCs w:val="22"/>
        </w:rPr>
        <w:t xml:space="preserve">A GoEMed application sends a structured patient profile as JSON to the /predict endpoint. The FastAPI server converts it to natural language, runs Bio_ClinicalBERT inference, and returns probability scores for all 11 conditions with risk level classifications in under 700 milliseconds. For a 58-year-old Black male with BMI 31.4, BP 148/92, and HbA1c 7.2%, the API correctly returns Hypertension 96.6% HIGH, Diabetes 99.9% HIGH, and CVD Risk 85% HIGH.</w:t>
      </w:r>
    </w:p>
    <w:p>
      <w:pPr>
        <w:spacing w:after="120" w:before="0"/>
      </w:pPr>
      <w:r>
        <w:rPr>
          <w:sz w:val="22"/>
          <w:szCs w:val="22"/>
        </w:rPr>
        <w:t xml:space="preserve"/>
      </w:r>
    </w:p>
    <w:p>
      <w:pPr>
        <w:pStyle w:val="Heading2"/>
        <w:spacing w:after="100" w:before="200"/>
      </w:pPr>
      <w:r>
        <w:t xml:space="preserve">AWS Infrastructure</w:t>
      </w:r>
    </w:p>
    <w:p>
      <w:pPr>
        <w:pStyle w:val="ListParagraph"/>
        <w:numPr>
          <w:ilvl w:val="0"/>
          <w:numId w:val="1"/>
        </w:numPr>
        <w:spacing w:after="40" w:before="40"/>
        <w:ind w:left="720" w:hanging="360"/>
      </w:pPr>
      <w:r>
        <w:rPr>
          <w:sz w:val="22"/>
          <w:szCs w:val="22"/>
        </w:rPr>
        <w:t xml:space="preserve">S3 (goemed-model-artifacts) — stores the 413MB trained model weights. Downloaded to the container on startup, keeping the Docker image small.</w:t>
      </w:r>
    </w:p>
    <w:p>
      <w:pPr>
        <w:pStyle w:val="ListParagraph"/>
        <w:numPr>
          <w:ilvl w:val="0"/>
          <w:numId w:val="1"/>
        </w:numPr>
        <w:spacing w:after="40" w:before="40"/>
        <w:ind w:left="720" w:hanging="360"/>
      </w:pPr>
      <w:r>
        <w:rPr>
          <w:sz w:val="22"/>
          <w:szCs w:val="22"/>
        </w:rPr>
        <w:t xml:space="preserve">ECR (goemed-slm-inference) — private container registry storing the Docker image built for linux/amd64 (Intel architecture required for ECS Fargate).</w:t>
      </w:r>
    </w:p>
    <w:p>
      <w:pPr>
        <w:pStyle w:val="ListParagraph"/>
        <w:numPr>
          <w:ilvl w:val="0"/>
          <w:numId w:val="1"/>
        </w:numPr>
        <w:spacing w:after="40" w:before="40"/>
        <w:ind w:left="720" w:hanging="360"/>
      </w:pPr>
      <w:r>
        <w:rPr>
          <w:sz w:val="22"/>
          <w:szCs w:val="22"/>
        </w:rPr>
        <w:t xml:space="preserve">ECS Fargate — serverless container runtime on 0.5 vCPU / 1GB RAM. No EC2 instances to manage.</w:t>
      </w:r>
    </w:p>
    <w:p>
      <w:pPr>
        <w:pStyle w:val="ListParagraph"/>
        <w:numPr>
          <w:ilvl w:val="0"/>
          <w:numId w:val="1"/>
        </w:numPr>
        <w:spacing w:after="40" w:before="40"/>
        <w:ind w:left="720" w:hanging="360"/>
      </w:pPr>
      <w:r>
        <w:rPr>
          <w:sz w:val="22"/>
          <w:szCs w:val="22"/>
        </w:rPr>
        <w:t xml:space="preserve">IAM — least-privilege permissions: container reads S3 and writes CloudWatch logs only.</w:t>
      </w:r>
    </w:p>
    <w:p>
      <w:pPr>
        <w:pStyle w:val="ListParagraph"/>
        <w:numPr>
          <w:ilvl w:val="0"/>
          <w:numId w:val="1"/>
        </w:numPr>
        <w:spacing w:after="40" w:before="40"/>
        <w:ind w:left="720" w:hanging="360"/>
      </w:pPr>
      <w:r>
        <w:rPr>
          <w:sz w:val="22"/>
          <w:szCs w:val="22"/>
        </w:rPr>
        <w:t xml:space="preserve">CloudWatch — container logs and CPU/memory dashboard.</w:t>
      </w:r>
    </w:p>
    <w:p>
      <w:pPr>
        <w:pStyle w:val="ListParagraph"/>
        <w:numPr>
          <w:ilvl w:val="0"/>
          <w:numId w:val="1"/>
        </w:numPr>
        <w:spacing w:after="40" w:before="40"/>
        <w:ind w:left="720" w:hanging="360"/>
      </w:pPr>
      <w:r>
        <w:rPr>
          <w:sz w:val="22"/>
          <w:szCs w:val="22"/>
        </w:rPr>
        <w:t xml:space="preserve">GitHub Actions CI/CD — every push to main auto-builds, pushes to ECR, and deploys to ECS in 4 minutes.</w:t>
      </w:r>
    </w:p>
    <w:p>
      <w:pPr>
        <w:spacing w:after="120" w:before="0"/>
      </w:pPr>
      <w:r>
        <w:rPr>
          <w:sz w:val="22"/>
          <w:szCs w:val="22"/>
        </w:rPr>
        <w:t xml:space="preserve"/>
      </w:r>
    </w:p>
    <w:p>
      <w:pPr>
        <w:pStyle w:val="Heading2"/>
        <w:spacing w:after="100" w:before="200"/>
      </w:pPr>
      <w:r>
        <w:t xml:space="preserve">Identified Limitation</w:t>
      </w:r>
    </w:p>
    <w:p>
      <w:pPr>
        <w:spacing w:after="100" w:before="60" w:line="280" w:lineRule="auto"/>
        <w:jc w:val="both"/>
      </w:pPr>
      <w:r>
        <w:rPr>
          <w:sz w:val="22"/>
          <w:szCs w:val="22"/>
        </w:rPr>
        <w:t xml:space="preserve">During testing, the model assigned 99% hypertension probability to a 28-year-old female with normal blood pressure (110/70 mmHg). This reflects a known limitation of text-based language models: they do not process numeric thresholds with the same precision as tabular models. The recommended fix is a hybrid inference strategy — XGBoost for hard-threshold conditions (Hypertension, Diabetes, Metabolic Syndrome) and Bio_ClinicalBERT for complex multi-feature conditions (CVD Risk, Depression, Sleep Apnea, COPD). This is planned for v2.</w:t>
      </w:r>
    </w:p>
    <w:p>
      <w:r>
        <w:br w:type="page"/>
      </w:r>
    </w:p>
    <w:p>
      <w:pPr>
        <w:pStyle w:val="Heading1"/>
        <w:spacing w:after="160" w:before="300"/>
      </w:pPr>
      <w:r>
        <w:t xml:space="preserve">8. What's Next — Future Work</w:t>
      </w:r>
    </w:p>
    <w:p>
      <w:pPr>
        <w:pStyle w:val="Heading2"/>
        <w:spacing w:after="100" w:before="200"/>
      </w:pPr>
      <w:r>
        <w:t xml:space="preserve">V2 Priority 1 — Geographic Health Risk Intelligence</w:t>
      </w:r>
    </w:p>
    <w:p>
      <w:pPr>
        <w:spacing w:after="100" w:before="60" w:line="280" w:lineRule="auto"/>
        <w:jc w:val="both"/>
      </w:pPr>
      <w:r>
        <w:rPr>
          <w:sz w:val="22"/>
          <w:szCs w:val="22"/>
        </w:rPr>
        <w:t xml:space="preserve">State-specific colorectal cancer multipliers have already been computed from SEER 2018-2022 for all 50 states and stored in configs/regional_cancer_multipliers.yaml on a dedicated feature branch. The full v2 integration adds geographic region as an explicit patient input feature and applies state-level multipliers to colorectal cancer risk assignment. It is important to note that geographic health disparities are already partially captured in the current model through demographic stratification — Non-Hispanic Black patients' higher hypertension rates and Hispanic patients' diabetes patterns reflect real regional health differences already embedded in NHANES and BRFSS data. The Cancer Alley multipliers add an explicit, state-level cancer risk layer on top of this existing signal. When a GoEMed user in New Orleans opens the app, they should see colorectal cancer screening prominently featured given Louisiana's 21% above-national-average incidence rate — a differentiation no other direct-pay marketplace currently offers.</w:t>
      </w:r>
    </w:p>
    <w:p>
      <w:pPr>
        <w:spacing w:after="120" w:before="0"/>
      </w:pPr>
      <w:r>
        <w:rPr>
          <w:sz w:val="22"/>
          <w:szCs w:val="22"/>
        </w:rPr>
        <w:t xml:space="preserve"/>
      </w:r>
    </w:p>
    <w:p>
      <w:pPr>
        <w:pStyle w:val="Heading2"/>
        <w:spacing w:after="100" w:before="200"/>
      </w:pPr>
      <w:r>
        <w:t xml:space="preserve">V2 Priority 2 — Iron Deficiency Anemia and Heart Failure</w:t>
      </w:r>
    </w:p>
    <w:p>
      <w:pPr>
        <w:spacing w:after="100" w:before="60" w:line="280" w:lineRule="auto"/>
        <w:jc w:val="both"/>
      </w:pPr>
      <w:r>
        <w:rPr>
          <w:sz w:val="22"/>
          <w:szCs w:val="22"/>
        </w:rPr>
        <w:t xml:space="preserve">Iron deficiency is an independent risk factor for heart failure — a clinically established relationship underappreciated in consumer health tools. Adding hemoglobin from NHANES CBC files enables an anemia label (WHO criteria: Hgb &lt; 12 g/dL women, &lt; 13 g/dL men) and a heart failure risk label driven by anemia, CKD, hypertension, and existing CVD. This makes GoEMed one of the few platforms to surface iron panel testing as a cardiac risk signal.</w:t>
      </w:r>
    </w:p>
    <w:p>
      <w:pPr>
        <w:spacing w:after="120" w:before="0"/>
      </w:pPr>
      <w:r>
        <w:rPr>
          <w:sz w:val="22"/>
          <w:szCs w:val="22"/>
        </w:rPr>
        <w:t xml:space="preserve"/>
      </w:r>
    </w:p>
    <w:p>
      <w:pPr>
        <w:pStyle w:val="Heading2"/>
        <w:spacing w:after="100" w:before="200"/>
      </w:pPr>
      <w:r>
        <w:t xml:space="preserve">V2 Priority 3 — Production HTTPS Deployment</w:t>
      </w:r>
    </w:p>
    <w:p>
      <w:pPr>
        <w:spacing w:after="100" w:before="60" w:line="280" w:lineRule="auto"/>
        <w:jc w:val="both"/>
      </w:pPr>
      <w:r>
        <w:rPr>
          <w:sz w:val="22"/>
          <w:szCs w:val="22"/>
        </w:rPr>
        <w:t xml:space="preserve">The current endpoint uses HTTP on a public IP that changes each time the ECS task restarts. Production deployment requires an Application Load Balancer with a stable DNS name, ACM TLS certificate for HTTPS, ECS Auto Scaling (70% CPU scale-up, 30% scale-down), and API key authentication. These are infrastructure enhancements only — the model and inference logic are unchanged.</w:t>
      </w:r>
    </w:p>
    <w:p>
      <w:pPr>
        <w:spacing w:after="120" w:before="0"/>
      </w:pPr>
      <w:r>
        <w:rPr>
          <w:sz w:val="22"/>
          <w:szCs w:val="22"/>
        </w:rPr>
        <w:t xml:space="preserve"/>
      </w:r>
    </w:p>
    <w:p>
      <w:pPr>
        <w:pStyle w:val="Heading2"/>
        <w:spacing w:after="100" w:before="200"/>
      </w:pPr>
      <w:r>
        <w:t xml:space="preserve">Hybrid Inference Strategy</w:t>
      </w:r>
    </w:p>
    <w:p>
      <w:pPr>
        <w:spacing w:after="100" w:before="60" w:line="280" w:lineRule="auto"/>
        <w:jc w:val="both"/>
      </w:pPr>
      <w:r>
        <w:rPr>
          <w:sz w:val="22"/>
          <w:szCs w:val="22"/>
        </w:rPr>
        <w:t xml:space="preserve">The identified hypertension over-prediction limitation motivates a hybrid model approach: XGBoost for hard-threshold conditions (Hypertension, Diabetes, Metabolic Syndrome) where numeric precision matters, and Bio_ClinicalBERT for complex multi-feature conditions (CVD Risk, Depression, Sleep Apnea, COPD) where contextual reasoning adds value. This combination would eliminate the language model's threshold precision weakness while retaining its superior performance on nuanced conditions.</w:t>
      </w:r>
    </w:p>
    <w:p>
      <w:pPr>
        <w:spacing w:after="120" w:before="0"/>
      </w:pPr>
      <w:r>
        <w:rPr>
          <w:sz w:val="22"/>
          <w:szCs w:val="22"/>
        </w:rPr>
        <w:t xml:space="preserve"/>
      </w:r>
    </w:p>
    <w:p xmlns:w="http://schemas.openxmlformats.org/wordprocessingml/2006/main">
      <w:pPr>
        <w:pStyle w:val="Heading2"/>
        <w:spacing w:before="300" w:after="150"/>
      </w:pPr>
      <w:r>
        <w:rPr>
          <w:b/>
          <w:color w:val="1E3A5F"/>
          <w:sz w:val="24"/>
        </w:rPr>
        <w:t xml:space="preserve">A Note on Validation Scope</w:t>
      </w:r>
    </w:p>
    <w:p xmlns:w="http://schemas.openxmlformats.org/wordprocessingml/2006/main">
      <w:pPr>
        <w:jc w:val="both"/>
        <w:spacing w:before="80" w:after="120" w:line="276" w:lineRule="auto"/>
      </w:pPr>
      <w:r>
        <w:rPr>
          <w:sz w:val="22"/>
        </w:rPr>
        <w:t xml:space="preserve">The evaluation reported here addresses one question — is the synthetic data statistically valid? — thoroughly. All performance metrics were computed on a held-out synthetic test set, which measures the model's ability to learn from the synthetic training distribution. The complementary question — does the model predict outcomes accurately in real patients? — is a natural extension of this project rather than an outcome of it, and is the highest-priority v2 work item.</w:t>
      </w:r>
    </w:p>
    <w:p xmlns:w="http://schemas.openxmlformats.org/wordprocessingml/2006/main">
      <w:pPr>
        <w:jc w:val="both"/>
        <w:spacing w:before="80" w:after="120" w:line="276" w:lineRule="auto"/>
      </w:pPr>
      <w:r>
        <w:rPr>
          <w:sz w:val="22"/>
        </w:rPr>
        <w:t xml:space="preserve">A rigorous v2 validation study would include the following:</w:t>
      </w:r>
    </w:p>
    <w:p xmlns:w="http://schemas.openxmlformats.org/wordprocessingml/2006/main">
      <w:pPr>
        <w:numPr>
          <w:ilvl w:val="0"/>
          <w:numId w:val="1"/>
        </w:numPr>
        <w:spacing w:before="60" w:after="60"/>
        <w:ind w:left="720" w:hanging="360"/>
      </w:pPr>
      <w:r>
        <w:rPr>
          <w:sz w:val="22"/>
        </w:rPr>
        <w:t xml:space="preserve">Sealing a later NHANES cycle from all generator calibration and evaluating final model performance on it exactly once, preventing indirect data leakage through generator parameters.</w:t>
      </w:r>
    </w:p>
    <w:p xmlns:w="http://schemas.openxmlformats.org/wordprocessingml/2006/main">
      <w:pPr>
        <w:numPr>
          <w:ilvl w:val="0"/>
          <w:numId w:val="1"/>
        </w:numPr>
        <w:spacing w:before="60" w:after="60"/>
        <w:ind w:left="720" w:hanging="360"/>
      </w:pPr>
      <w:r>
        <w:rPr>
          <w:sz w:val="22"/>
        </w:rPr>
        <w:t xml:space="preserve">Reporting calibration alongside discrimination — calibration slope, intercept, and Brier score decomposition.</w:t>
      </w:r>
    </w:p>
    <w:p xmlns:w="http://schemas.openxmlformats.org/wordprocessingml/2006/main">
      <w:pPr>
        <w:numPr>
          <w:ilvl w:val="0"/>
          <w:numId w:val="1"/>
        </w:numPr>
        <w:spacing w:before="60" w:after="60"/>
        <w:ind w:left="720" w:hanging="360"/>
      </w:pPr>
      <w:r>
        <w:rPr>
          <w:sz w:val="22"/>
        </w:rPr>
        <w:t xml:space="preserve">Direct comparison against the published clinical equations (Framingham, ASCVD, FINDRISC, CKD-EPI) evaluated on the same real held-out data, alongside a model trained on real calibration-cycle data as an upper bound.</w:t>
      </w:r>
    </w:p>
    <w:p xmlns:w="http://schemas.openxmlformats.org/wordprocessingml/2006/main">
      <w:pPr>
        <w:numPr>
          <w:ilvl w:val="0"/>
          <w:numId w:val="1"/>
        </w:numPr>
        <w:spacing w:before="60" w:after="60"/>
        <w:ind w:left="720" w:hanging="360"/>
      </w:pPr>
      <w:r>
        <w:rPr>
          <w:sz w:val="22"/>
        </w:rPr>
        <w:t xml:space="preserve">Negative control experiment — training an identical model on synthetic data with all correlations zeroed, to positively demonstrate whether the Gaussian copula component contributes predictive information beyond the marginal distributions alone.</w:t>
      </w:r>
    </w:p>
    <w:p xmlns:w="http://schemas.openxmlformats.org/wordprocessingml/2006/main">
      <w:pPr>
        <w:jc w:val="both"/>
        <w:spacing w:before="80" w:after="120" w:line="276" w:lineRule="auto"/>
      </w:pPr>
      <w:r>
        <w:rPr>
          <w:sz w:val="22"/>
        </w:rPr>
        <w:t xml:space="preserve">These would move the project from a demonstrated prototype to a scientifically validated risk-signal system suitable for real deployment consideration at GoEMed. The infrastructure delivered by this internship is a genuine and reusable foundation for that work.</w:t>
      </w:r>
    </w:p>
    <w:p>
      <w:pPr>
        <w:pStyle w:val="Heading2"/>
        <w:spacing w:after="100" w:before="200"/>
      </w:pPr>
      <w:r>
        <w:t xml:space="preserve">Coursework Connections</w:t>
      </w:r>
    </w:p>
    <w:p>
      <w:pPr>
        <w:spacing w:after="100" w:before="60" w:line="280" w:lineRule="auto"/>
        <w:jc w:val="both"/>
      </w:pPr>
      <w:r>
        <w:rPr>
          <w:sz w:val="22"/>
          <w:szCs w:val="22"/>
        </w:rPr>
        <w:t xml:space="preserve">This project applied methods from five UW-Madison courses: Stat 309/310 (MLE distribution fitting, power-law learning curve analysis, Cramér-Rao lower bound for parameter uncertainty); Applied Multivariate Analysis (Gaussian copula, PSD matrix verification, Hotelling T²); Math 321/322 (convergence properties of the copula sampler); Intro to Number Theory (conceptual foundation for quasi-random Sobol sampling as a planned rare-stratum coverage improvement); and Math Methods in Data Science (kernel-based MMD as an alternative distributional similarity metric). The complete codebase — 22 commits, 15 Python scripts — is at github.com/Deepak-Badri/goemed-synthetic-slm.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jc w:val="center"/>
    </w:pPr>
    <w:r>
      <w:rPr>
        <w:color w:val="595959"/>
        <w:sz w:val="18"/>
        <w:szCs w:val="18"/>
      </w:rPr>
      <w:t xml:space="preserve">Page </w:t>
    </w:r>
    <w:fldSimple w:instr="[object Object]"/>
    <w:r>
      <w:rPr>
        <w:color w:val="595959"/>
        <w:sz w:val="18"/>
        <w:szCs w:val="18"/>
      </w:rPr>
      <w:t xml:space="preserve">  |  github.com/Deepak-Badri/goemed-synthetic-slm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jc w:val="right"/>
    </w:pPr>
    <w:r>
      <w:rPr>
        <w:color w:val="595959"/>
        <w:sz w:val="18"/>
        <w:szCs w:val="18"/>
      </w:rPr>
      <w:t xml:space="preserve">GoEMed Internship — Project Summary  |  Deepak Badri  |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160" w:before="300"/>
    </w:pPr>
    <w:rPr>
      <w:rFonts w:ascii="Calibri" w:cs="Calibri" w:eastAsia="Calibri" w:hAnsi="Calibri"/>
      <w:b/>
      <w:bCs/>
      <w:color w:val="1E3A5F"/>
      <w:sz w:val="28"/>
      <w:szCs w:val="28"/>
    </w:rPr>
  </w:style>
  <w:style w:type="paragraph" w:styleId="Heading2">
    <w:name w:val="Heading 2"/>
    <w:basedOn w:val="Normal"/>
    <w:next w:val="Normal"/>
    <w:qFormat/>
    <w:pPr>
      <w:spacing w:after="80" w:before="180"/>
    </w:pPr>
    <w:rPr>
      <w:rFonts w:ascii="Calibri" w:cs="Calibri" w:eastAsia="Calibri" w:hAnsi="Calibri"/>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GoEMed Internship — Project Summary</dc:title>
  <dc:creator>Deepak Badri</dc:creator>
  <cp:lastModifiedBy>Un-named</cp:lastModifiedBy>
  <cp:revision>1</cp:revision>
  <dcterms:created xsi:type="dcterms:W3CDTF">2026-08-10T20:45:52.393Z</dcterms:created>
  <dcterms:modified xsi:type="dcterms:W3CDTF">2026-08-10T20:45:52.407Z</dcterms:modified>
</cp:coreProperties>
</file>

<file path=docProps/custom.xml><?xml version="1.0" encoding="utf-8"?>
<Properties xmlns="http://schemas.openxmlformats.org/officeDocument/2006/custom-properties" xmlns:vt="http://schemas.openxmlformats.org/officeDocument/2006/docPropsVTypes"/>
</file>