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color w:val="2E6DA4"/>
          <w:sz w:val="22"/>
          <w:szCs w:val="22"/>
        </w:rPr>
        <w:t xml:space="preserve">GoEMed.com  |  Mathematics &amp; Statistics Internship</w:t>
      </w:r>
    </w:p>
    <w:p>
      <w:pPr>
        <w:pBdr>
          <w:bottom w:val="single" w:color="1D9E75" w:sz="8" w:space="6"/>
        </w:pBdr>
        <w:spacing w:after="80" w:before="0"/>
        <w:jc w:val="center"/>
      </w:pPr>
      <w:r>
        <w:rPr>
          <w:b/>
          <w:bCs/>
          <w:color w:val="1E3A5F"/>
          <w:sz w:val="40"/>
          <w:szCs w:val="40"/>
        </w:rPr>
        <w:t xml:space="preserve">Executive Summary</w:t>
      </w:r>
    </w:p>
    <w:p>
      <w:pPr>
        <w:spacing w:after="60" w:before="100"/>
        <w:jc w:val="center"/>
      </w:pPr>
      <w:r>
        <w:rPr>
          <w:i/>
          <w:iCs/>
          <w:color w:val="595959"/>
          <w:sz w:val="24"/>
          <w:szCs w:val="24"/>
        </w:rPr>
        <w:t xml:space="preserve">Synthetic Health Data Generation &amp; Small Language Model Training  </w:t>
      </w:r>
    </w:p>
    <w:p>
      <w:pPr>
        <w:spacing w:after="200" w:before="0"/>
        <w:jc w:val="center"/>
      </w:pPr>
      <w:r>
        <w:rPr>
          <w:color w:val="595959"/>
          <w:sz w:val="20"/>
          <w:szCs w:val="20"/>
        </w:rPr>
        <w:t xml:space="preserve">Deepak Badri  |  Supervisor: Badri Viswanathan  |  Summer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color="auto" w:val="clear"/>
          </w:tcPr>
          <w:p>
            <w:pPr>
              <w:spacing w:after="80" w:before="80"/>
              <w:ind w:left="160"/>
            </w:pPr>
            <w:r>
              <w:rPr>
                <w:b/>
                <w:bCs/>
                <w:color w:val="FFFFFF"/>
                <w:sz w:val="21"/>
                <w:szCs w:val="21"/>
              </w:rPr>
              <w:t xml:space="preserve">THE PROBLEM</w:t>
            </w:r>
          </w:p>
        </w:tc>
      </w:tr>
    </w:tbl>
    <w:p>
      <w:pPr>
        <w:spacing w:after="100" w:before="0"/>
      </w:pPr>
      <w:r>
        <w:rPr>
          <w:sz w:val="22"/>
          <w:szCs w:val="22"/>
        </w:rPr>
        <w:t xml:space="preserve"/>
      </w:r>
    </w:p>
    <w:p>
      <w:pPr>
        <w:spacing w:after="100" w:before="60" w:line="280" w:lineRule="auto"/>
        <w:jc w:val="both"/>
      </w:pPr>
      <w:r>
        <w:rPr>
          <w:b w:val="false"/>
          <w:bCs w:val="false"/>
          <w:i w:val="false"/>
          <w:iCs w:val="false"/>
          <w:color w:val="000000"/>
          <w:sz w:val="22"/>
          <w:szCs w:val="22"/>
        </w:rPr>
        <w:t xml:space="preserve">GoEMed operates a direct-pay healthcare marketplace offering transparent procedure pricing. Health risk intelligence — identifying a user's elevated risk for cardiovascular disease, diabetes, or cancer to surface relevant procedures — represents a significant product opportunity. The obstacle: building a health risk model requires patient health data, which is protected under HIPAA. Obtaining real records requires months of legal negotiations, IRB approval, and de-identification processes that are impractical for a fast-moving marketplace. This project solves the problem by generating statistically rigorous synthetic patient data and training a clinical language model on it — no real patient records, no HIPAA exposure.</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D9E75" w:color="auto" w:val="clear"/>
          </w:tcPr>
          <w:p>
            <w:pPr>
              <w:spacing w:after="80" w:before="80"/>
              <w:ind w:left="160"/>
            </w:pPr>
            <w:r>
              <w:rPr>
                <w:b/>
                <w:bCs/>
                <w:color w:val="FFFFFF"/>
                <w:sz w:val="21"/>
                <w:szCs w:val="21"/>
              </w:rPr>
              <w:t xml:space="preserve">WHAT WE BUILT</w:t>
            </w:r>
          </w:p>
        </w:tc>
      </w:tr>
    </w:tbl>
    <w:p>
      <w:pPr>
        <w:spacing w:after="100" w:before="0"/>
      </w:pPr>
      <w:r>
        <w:rPr>
          <w:sz w:val="22"/>
          <w:szCs w:val="22"/>
        </w:rPr>
        <w:t xml:space="preserve"/>
      </w:r>
    </w:p>
    <w:p>
      <w:pPr>
        <w:spacing w:after="100" w:before="60" w:line="280" w:lineRule="auto"/>
        <w:jc w:val="both"/>
      </w:pPr>
      <w:r>
        <w:rPr>
          <w:b w:val="false"/>
          <w:bCs w:val="false"/>
          <w:i w:val="false"/>
          <w:iCs w:val="false"/>
          <w:color w:val="000000"/>
          <w:sz w:val="22"/>
          <w:szCs w:val="22"/>
        </w:rPr>
        <w:t xml:space="preserve">A complete end-to-end pipeline: raw federal health data → synthetic patient generator → fine-tuned clinical language model → live AWS inference API returning condition probability scores for 11 health conditions in under 700 milliseconds.</w:t>
      </w:r>
    </w:p>
    <w:p>
      <w:pPr>
        <w:spacing w:after="100" w:before="0"/>
      </w:pPr>
      <w:r>
        <w:rPr>
          <w:sz w:val="22"/>
          <w:szCs w:val="22"/>
        </w:rPr>
        <w:t xml:space="preserve"/>
      </w:r>
    </w:p>
    <w:p>
      <w:pPr>
        <w:pStyle w:val="ListParagraph"/>
        <w:numPr>
          <w:ilvl w:val="0"/>
          <w:numId w:val="1"/>
        </w:numPr>
        <w:spacing w:after="40" w:before="40"/>
        <w:ind w:left="720" w:hanging="360"/>
      </w:pPr>
      <w:r>
        <w:rPr>
          <w:sz w:val="22"/>
          <w:szCs w:val="22"/>
        </w:rPr>
        <w:t xml:space="preserve">Synthetic data generator calibrated to NHANES (17,846 adults), BRFSS 2024, SEER cancer data, and 9 validated clinical risk model equations (Framingham, ASCVD, FINDRISC, CKD-EPI, STOP-BANG, ADA, and others)</w:t>
      </w:r>
    </w:p>
    <w:p>
      <w:pPr>
        <w:pStyle w:val="ListParagraph"/>
        <w:numPr>
          <w:ilvl w:val="0"/>
          <w:numId w:val="1"/>
        </w:numPr>
        <w:spacing w:after="40" w:before="40"/>
        <w:ind w:left="720" w:hanging="360"/>
      </w:pPr>
      <w:r>
        <w:rPr>
          <w:sz w:val="22"/>
          <w:szCs w:val="22"/>
        </w:rPr>
        <w:t xml:space="preserve">100,000 synthetic patient records — all 12 condition label prevalences within ±5% of published CDC/AHA/SEER benchmarks</w:t>
      </w:r>
    </w:p>
    <w:p>
      <w:pPr>
        <w:pStyle w:val="ListParagraph"/>
        <w:numPr>
          <w:ilvl w:val="0"/>
          <w:numId w:val="1"/>
        </w:numPr>
        <w:spacing w:after="40" w:before="40"/>
        <w:ind w:left="720" w:hanging="360"/>
      </w:pPr>
      <w:r>
        <w:rPr>
          <w:sz w:val="22"/>
          <w:szCs w:val="22"/>
        </w:rPr>
        <w:t xml:space="preserve">Bio_ClinicalBERT fine-tuned for multi-label prediction — macro AUROC 0.9857 across 11 conditions</w:t>
      </w:r>
    </w:p>
    <w:p>
      <w:pPr>
        <w:pStyle w:val="ListParagraph"/>
        <w:numPr>
          <w:ilvl w:val="0"/>
          <w:numId w:val="1"/>
        </w:numPr>
        <w:spacing w:after="40" w:before="40"/>
        <w:ind w:left="720" w:hanging="360"/>
      </w:pPr>
      <w:r>
        <w:rPr>
          <w:sz w:val="22"/>
          <w:szCs w:val="22"/>
        </w:rPr>
        <w:t xml:space="preserve">FastAPI inference API deployed on AWS ECS Fargate with GitHub Actions CI/CD pipeline</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E6DA4" w:color="auto" w:val="clear"/>
          </w:tcPr>
          <w:p>
            <w:pPr>
              <w:spacing w:after="80" w:before="80"/>
              <w:ind w:left="160"/>
            </w:pPr>
            <w:r>
              <w:rPr>
                <w:b/>
                <w:bCs/>
                <w:color w:val="FFFFFF"/>
                <w:sz w:val="21"/>
                <w:szCs w:val="21"/>
              </w:rPr>
              <w:t xml:space="preserve">KEY RESULTS</w:t>
            </w:r>
          </w:p>
        </w:tc>
      </w:tr>
    </w:tbl>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1E3A5F" w:color="auto" w:val="clear"/>
          </w:tcPr>
          <w:p>
            <w:pPr>
              <w:spacing w:after="60" w:before="60"/>
              <w:jc w:val="center"/>
            </w:pPr>
            <w:r>
              <w:rPr>
                <w:b/>
                <w:bCs/>
                <w:color w:val="FFFFFF"/>
                <w:sz w:val="20"/>
                <w:szCs w:val="20"/>
              </w:rPr>
              <w:t xml:space="preserve">Metric</w:t>
            </w:r>
          </w:p>
        </w:tc>
        <w:tc>
          <w:tcPr>
            <w:tcW w:type="dxa" w:w="2580"/>
            <w:shd w:fill="1E3A5F" w:color="auto" w:val="clear"/>
          </w:tcPr>
          <w:p>
            <w:pPr>
              <w:spacing w:after="60" w:before="60"/>
              <w:jc w:val="center"/>
            </w:pPr>
            <w:r>
              <w:rPr>
                <w:b/>
                <w:bCs/>
                <w:color w:val="FFFFFF"/>
                <w:sz w:val="20"/>
                <w:szCs w:val="20"/>
              </w:rPr>
              <w:t xml:space="preserve">Result</w:t>
            </w:r>
          </w:p>
        </w:tc>
        <w:tc>
          <w:tcPr>
            <w:tcW w:type="dxa" w:w="2580"/>
            <w:shd w:fill="1E3A5F" w:color="auto" w:val="clear"/>
          </w:tcPr>
          <w:p>
            <w:pPr>
              <w:spacing w:after="60" w:before="60"/>
              <w:jc w:val="center"/>
            </w:pPr>
            <w:r>
              <w:rPr>
                <w:b/>
                <w:bCs/>
                <w:color w:val="FFFFFF"/>
                <w:sz w:val="20"/>
                <w:szCs w:val="20"/>
              </w:rPr>
              <w:t xml:space="preserve">Benchmark</w:t>
            </w:r>
          </w:p>
        </w:tc>
      </w:tr>
      <w:tr>
        <w:tc>
          <w:tcPr>
            <w:tcW w:type="dxa" w:w="4200"/>
            <w:shd w:fill="FFFFFF" w:color="auto" w:val="clear"/>
          </w:tcPr>
          <w:p>
            <w:pPr>
              <w:spacing w:after="55" w:before="55"/>
              <w:jc w:val="left"/>
            </w:pPr>
            <w:r>
              <w:rPr>
                <w:sz w:val="20"/>
                <w:szCs w:val="20"/>
              </w:rPr>
              <w:t xml:space="preserve">Synthetic dataset</w:t>
            </w:r>
          </w:p>
        </w:tc>
        <w:tc>
          <w:tcPr>
            <w:tcW w:type="dxa" w:w="2580"/>
            <w:shd w:fill="FFFFFF" w:color="auto" w:val="clear"/>
          </w:tcPr>
          <w:p>
            <w:pPr>
              <w:spacing w:after="55" w:before="55"/>
              <w:jc w:val="center"/>
            </w:pPr>
            <w:r>
              <w:rPr>
                <w:sz w:val="20"/>
                <w:szCs w:val="20"/>
              </w:rPr>
              <w:t xml:space="preserve">100,000 records, 42 features</w:t>
            </w:r>
          </w:p>
        </w:tc>
        <w:tc>
          <w:tcPr>
            <w:tcW w:type="dxa" w:w="2580"/>
            <w:shd w:fill="FFFFFF" w:color="auto" w:val="clear"/>
          </w:tcPr>
          <w:p>
            <w:pPr>
              <w:spacing w:after="55" w:before="55"/>
              <w:jc w:val="center"/>
            </w:pPr>
            <w:r>
              <w:rPr>
                <w:sz w:val="20"/>
                <w:szCs w:val="20"/>
              </w:rPr>
              <w:t xml:space="preserve">—</w:t>
            </w:r>
          </w:p>
        </w:tc>
      </w:tr>
      <w:tr>
        <w:tc>
          <w:tcPr>
            <w:tcW w:type="dxa" w:w="4200"/>
            <w:shd w:fill="F2F2F0" w:color="auto" w:val="clear"/>
          </w:tcPr>
          <w:p>
            <w:pPr>
              <w:spacing w:after="55" w:before="55"/>
              <w:jc w:val="left"/>
            </w:pPr>
            <w:r>
              <w:rPr>
                <w:sz w:val="20"/>
                <w:szCs w:val="20"/>
              </w:rPr>
              <w:t xml:space="preserve">Validation — Frobenius norm</w:t>
            </w:r>
          </w:p>
        </w:tc>
        <w:tc>
          <w:tcPr>
            <w:tcW w:type="dxa" w:w="2580"/>
            <w:shd w:fill="F2F2F0" w:color="auto" w:val="clear"/>
          </w:tcPr>
          <w:p>
            <w:pPr>
              <w:spacing w:after="55" w:before="55"/>
              <w:jc w:val="center"/>
            </w:pPr>
            <w:r>
              <w:rPr>
                <w:sz w:val="20"/>
                <w:szCs w:val="20"/>
              </w:rPr>
              <w:t xml:space="preserve">1.967</w:t>
            </w:r>
          </w:p>
        </w:tc>
        <w:tc>
          <w:tcPr>
            <w:tcW w:type="dxa" w:w="2580"/>
            <w:shd w:fill="F2F2F0" w:color="auto" w:val="clear"/>
          </w:tcPr>
          <w:p>
            <w:pPr>
              <w:spacing w:after="55" w:before="55"/>
              <w:jc w:val="center"/>
            </w:pPr>
            <w:r>
              <w:rPr>
                <w:sz w:val="20"/>
                <w:szCs w:val="20"/>
              </w:rPr>
              <w:t xml:space="preserve">&lt; 2.0 ✅</w:t>
            </w:r>
          </w:p>
        </w:tc>
      </w:tr>
      <w:tr>
        <w:tc>
          <w:tcPr>
            <w:tcW w:type="dxa" w:w="4200"/>
            <w:shd w:fill="FFFFFF" w:color="auto" w:val="clear"/>
          </w:tcPr>
          <w:p>
            <w:pPr>
              <w:spacing w:after="55" w:before="55"/>
              <w:jc w:val="left"/>
            </w:pPr>
            <w:r>
              <w:rPr>
                <w:sz w:val="20"/>
                <w:szCs w:val="20"/>
              </w:rPr>
              <w:t xml:space="preserve">Validation — Propensity AUROC</w:t>
            </w:r>
          </w:p>
        </w:tc>
        <w:tc>
          <w:tcPr>
            <w:tcW w:type="dxa" w:w="2580"/>
            <w:shd w:fill="FFFFFF" w:color="auto" w:val="clear"/>
          </w:tcPr>
          <w:p>
            <w:pPr>
              <w:spacing w:after="55" w:before="55"/>
              <w:jc w:val="center"/>
            </w:pPr>
            <w:r>
              <w:rPr>
                <w:sz w:val="20"/>
                <w:szCs w:val="20"/>
              </w:rPr>
              <w:t xml:space="preserve">0.606</w:t>
            </w:r>
          </w:p>
        </w:tc>
        <w:tc>
          <w:tcPr>
            <w:tcW w:type="dxa" w:w="2580"/>
            <w:shd w:fill="FFFFFF" w:color="auto" w:val="clear"/>
          </w:tcPr>
          <w:p>
            <w:pPr>
              <w:spacing w:after="55" w:before="55"/>
              <w:jc w:val="center"/>
            </w:pPr>
            <w:r>
              <w:rPr>
                <w:sz w:val="20"/>
                <w:szCs w:val="20"/>
              </w:rPr>
              <w:t xml:space="preserve">&lt; 0.65 ✅</w:t>
            </w:r>
          </w:p>
        </w:tc>
      </w:tr>
      <w:tr>
        <w:tc>
          <w:tcPr>
            <w:tcW w:type="dxa" w:w="4200"/>
            <w:shd w:fill="F2F2F0" w:color="auto" w:val="clear"/>
          </w:tcPr>
          <w:p>
            <w:pPr>
              <w:spacing w:after="55" w:before="55"/>
              <w:jc w:val="left"/>
            </w:pPr>
            <w:r>
              <w:rPr>
                <w:sz w:val="20"/>
                <w:szCs w:val="20"/>
              </w:rPr>
              <w:t xml:space="preserve">Validation — Hotelling T²</w:t>
            </w:r>
          </w:p>
        </w:tc>
        <w:tc>
          <w:tcPr>
            <w:tcW w:type="dxa" w:w="2580"/>
            <w:shd w:fill="F2F2F0" w:color="auto" w:val="clear"/>
          </w:tcPr>
          <w:p>
            <w:pPr>
              <w:spacing w:after="55" w:before="55"/>
              <w:jc w:val="center"/>
            </w:pPr>
            <w:r>
              <w:rPr>
                <w:sz w:val="20"/>
                <w:szCs w:val="20"/>
              </w:rPr>
              <w:t xml:space="preserve">0.034 (normalized)</w:t>
            </w:r>
          </w:p>
        </w:tc>
        <w:tc>
          <w:tcPr>
            <w:tcW w:type="dxa" w:w="2580"/>
            <w:shd w:fill="F2F2F0" w:color="auto" w:val="clear"/>
          </w:tcPr>
          <w:p>
            <w:pPr>
              <w:spacing w:after="55" w:before="55"/>
              <w:jc w:val="center"/>
            </w:pPr>
            <w:r>
              <w:rPr>
                <w:sz w:val="20"/>
                <w:szCs w:val="20"/>
              </w:rPr>
              <w:t xml:space="preserve">&lt; 1.0 ✅</w:t>
            </w:r>
          </w:p>
        </w:tc>
      </w:tr>
      <w:tr>
        <w:tc>
          <w:tcPr>
            <w:tcW w:type="dxa" w:w="4200"/>
            <w:shd w:fill="FFFFFF" w:color="auto" w:val="clear"/>
          </w:tcPr>
          <w:p>
            <w:pPr>
              <w:spacing w:after="55" w:before="55"/>
              <w:jc w:val="left"/>
            </w:pPr>
            <w:r>
              <w:rPr>
                <w:sz w:val="20"/>
                <w:szCs w:val="20"/>
              </w:rPr>
              <w:t xml:space="preserve">XGBoost baseline macro AUROC</w:t>
            </w:r>
          </w:p>
        </w:tc>
        <w:tc>
          <w:tcPr>
            <w:tcW w:type="dxa" w:w="2580"/>
            <w:shd w:fill="FFFFFF" w:color="auto" w:val="clear"/>
          </w:tcPr>
          <w:p>
            <w:pPr>
              <w:spacing w:after="55" w:before="55"/>
              <w:jc w:val="center"/>
            </w:pPr>
            <w:r>
              <w:rPr>
                <w:sz w:val="20"/>
                <w:szCs w:val="20"/>
              </w:rPr>
              <w:t xml:space="preserve">0.819</w:t>
            </w:r>
          </w:p>
        </w:tc>
        <w:tc>
          <w:tcPr>
            <w:tcW w:type="dxa" w:w="2580"/>
            <w:shd w:fill="FFFFFF" w:color="auto" w:val="clear"/>
          </w:tcPr>
          <w:p>
            <w:pPr>
              <w:spacing w:after="55" w:before="55"/>
              <w:jc w:val="center"/>
            </w:pPr>
            <w:r>
              <w:rPr>
                <w:sz w:val="20"/>
                <w:szCs w:val="20"/>
              </w:rPr>
              <w:t xml:space="preserve">—</w:t>
            </w:r>
          </w:p>
        </w:tc>
      </w:tr>
      <w:tr>
        <w:tc>
          <w:tcPr>
            <w:tcW w:type="dxa" w:w="4200"/>
            <w:shd w:fill="F2F2F0" w:color="auto" w:val="clear"/>
          </w:tcPr>
          <w:p>
            <w:pPr>
              <w:spacing w:after="55" w:before="55"/>
              <w:jc w:val="left"/>
            </w:pPr>
            <w:r>
              <w:rPr>
                <w:sz w:val="20"/>
                <w:szCs w:val="20"/>
              </w:rPr>
              <w:t xml:space="preserve">Bio_ClinicalBERT macro AUROC</w:t>
            </w:r>
          </w:p>
        </w:tc>
        <w:tc>
          <w:tcPr>
            <w:tcW w:type="dxa" w:w="2580"/>
            <w:shd w:fill="F2F2F0" w:color="auto" w:val="clear"/>
          </w:tcPr>
          <w:p>
            <w:pPr>
              <w:spacing w:after="55" w:before="55"/>
              <w:jc w:val="center"/>
            </w:pPr>
            <w:r>
              <w:rPr>
                <w:sz w:val="20"/>
                <w:szCs w:val="20"/>
              </w:rPr>
              <w:t xml:space="preserve">0.9857</w:t>
            </w:r>
          </w:p>
        </w:tc>
        <w:tc>
          <w:tcPr>
            <w:tcW w:type="dxa" w:w="2580"/>
            <w:shd w:fill="F2F2F0" w:color="auto" w:val="clear"/>
          </w:tcPr>
          <w:p>
            <w:pPr>
              <w:spacing w:after="55" w:before="55"/>
              <w:jc w:val="center"/>
            </w:pPr>
            <w:r>
              <w:rPr>
                <w:sz w:val="20"/>
                <w:szCs w:val="20"/>
              </w:rPr>
              <w:t xml:space="preserve">Beats XGBoost on all 11 ✅</w:t>
            </w:r>
          </w:p>
        </w:tc>
      </w:tr>
      <w:tr>
        <w:tc>
          <w:tcPr>
            <w:tcW w:type="dxa" w:w="4200"/>
            <w:shd w:fill="FFFFFF" w:color="auto" w:val="clear"/>
          </w:tcPr>
          <w:p>
            <w:pPr>
              <w:spacing w:after="55" w:before="55"/>
              <w:jc w:val="left"/>
            </w:pPr>
            <w:r>
              <w:rPr>
                <w:sz w:val="20"/>
                <w:szCs w:val="20"/>
              </w:rPr>
              <w:t xml:space="preserve">Power analysis — min dataset size</w:t>
            </w:r>
          </w:p>
        </w:tc>
        <w:tc>
          <w:tcPr>
            <w:tcW w:type="dxa" w:w="2580"/>
            <w:shd w:fill="FFFFFF" w:color="auto" w:val="clear"/>
          </w:tcPr>
          <w:p>
            <w:pPr>
              <w:spacing w:after="55" w:before="55"/>
              <w:jc w:val="center"/>
            </w:pPr>
            <w:r>
              <w:rPr>
                <w:sz w:val="20"/>
                <w:szCs w:val="20"/>
              </w:rPr>
              <w:t xml:space="preserve">~1,000 records</w:t>
            </w:r>
          </w:p>
        </w:tc>
        <w:tc>
          <w:tcPr>
            <w:tcW w:type="dxa" w:w="2580"/>
            <w:shd w:fill="FFFFFF" w:color="auto" w:val="clear"/>
          </w:tcPr>
          <w:p>
            <w:pPr>
              <w:spacing w:after="55" w:before="55"/>
              <w:jc w:val="center"/>
            </w:pPr>
            <w:r>
              <w:rPr>
                <w:sz w:val="20"/>
                <w:szCs w:val="20"/>
              </w:rPr>
              <w:t xml:space="preserve">SLM saturation point</w:t>
            </w:r>
          </w:p>
        </w:tc>
      </w:tr>
      <w:tr>
        <w:tc>
          <w:tcPr>
            <w:tcW w:type="dxa" w:w="4200"/>
            <w:shd w:fill="F2F2F0" w:color="auto" w:val="clear"/>
          </w:tcPr>
          <w:p>
            <w:pPr>
              <w:spacing w:after="55" w:before="55"/>
              <w:jc w:val="left"/>
            </w:pPr>
            <w:r>
              <w:rPr>
                <w:sz w:val="20"/>
                <w:szCs w:val="20"/>
              </w:rPr>
              <w:t xml:space="preserve">SHAP clinical alignment</w:t>
            </w:r>
          </w:p>
        </w:tc>
        <w:tc>
          <w:tcPr>
            <w:tcW w:type="dxa" w:w="2580"/>
            <w:shd w:fill="F2F2F0" w:color="auto" w:val="clear"/>
          </w:tcPr>
          <w:p>
            <w:pPr>
              <w:spacing w:after="55" w:before="55"/>
              <w:jc w:val="center"/>
            </w:pPr>
            <w:r>
              <w:rPr>
                <w:sz w:val="20"/>
                <w:szCs w:val="20"/>
              </w:rPr>
              <w:t xml:space="preserve">77.8%</w:t>
            </w:r>
          </w:p>
        </w:tc>
        <w:tc>
          <w:tcPr>
            <w:tcW w:type="dxa" w:w="2580"/>
            <w:shd w:fill="F2F2F0" w:color="auto" w:val="clear"/>
          </w:tcPr>
          <w:p>
            <w:pPr>
              <w:spacing w:after="55" w:before="55"/>
              <w:jc w:val="center"/>
            </w:pPr>
            <w:r>
              <w:rPr>
                <w:sz w:val="20"/>
                <w:szCs w:val="20"/>
              </w:rPr>
              <w:t xml:space="preserve">11/11 labels validated ✅</w:t>
            </w:r>
          </w:p>
        </w:tc>
      </w:tr>
      <w:tr>
        <w:tc>
          <w:tcPr>
            <w:tcW w:type="dxa" w:w="4200"/>
            <w:shd w:fill="FFFFFF" w:color="auto" w:val="clear"/>
          </w:tcPr>
          <w:p>
            <w:pPr>
              <w:spacing w:after="55" w:before="55"/>
              <w:jc w:val="left"/>
            </w:pPr>
            <w:r>
              <w:rPr>
                <w:sz w:val="20"/>
                <w:szCs w:val="20"/>
              </w:rPr>
              <w:t xml:space="preserve">Fairness audit pass rate</w:t>
            </w:r>
          </w:p>
        </w:tc>
        <w:tc>
          <w:tcPr>
            <w:tcW w:type="dxa" w:w="2580"/>
            <w:shd w:fill="FFFFFF" w:color="auto" w:val="clear"/>
          </w:tcPr>
          <w:p>
            <w:pPr>
              <w:spacing w:after="55" w:before="55"/>
              <w:jc w:val="center"/>
            </w:pPr>
            <w:r>
              <w:rPr>
                <w:sz w:val="20"/>
                <w:szCs w:val="20"/>
              </w:rPr>
              <w:t xml:space="preserve">78.8%</w:t>
            </w:r>
          </w:p>
        </w:tc>
        <w:tc>
          <w:tcPr>
            <w:tcW w:type="dxa" w:w="2580"/>
            <w:shd w:fill="FFFFFF" w:color="auto" w:val="clear"/>
          </w:tcPr>
          <w:p>
            <w:pPr>
              <w:spacing w:after="55" w:before="55"/>
              <w:jc w:val="center"/>
            </w:pPr>
            <w:r>
              <w:rPr>
                <w:sz w:val="20"/>
                <w:szCs w:val="20"/>
              </w:rPr>
              <w:t xml:space="preserve">7 flags — all clinically justified</w:t>
            </w:r>
          </w:p>
        </w:tc>
      </w:tr>
      <w:tr>
        <w:tc>
          <w:tcPr>
            <w:tcW w:type="dxa" w:w="4200"/>
            <w:shd w:fill="F2F2F0" w:color="auto" w:val="clear"/>
          </w:tcPr>
          <w:p>
            <w:pPr>
              <w:spacing w:after="55" w:before="55"/>
              <w:jc w:val="left"/>
            </w:pPr>
            <w:r>
              <w:rPr>
                <w:sz w:val="20"/>
                <w:szCs w:val="20"/>
              </w:rPr>
              <w:t xml:space="preserve">API inference time</w:t>
            </w:r>
          </w:p>
        </w:tc>
        <w:tc>
          <w:tcPr>
            <w:tcW w:type="dxa" w:w="2580"/>
            <w:shd w:fill="F2F2F0" w:color="auto" w:val="clear"/>
          </w:tcPr>
          <w:p>
            <w:pPr>
              <w:spacing w:after="55" w:before="55"/>
              <w:jc w:val="center"/>
            </w:pPr>
            <w:r>
              <w:rPr>
                <w:sz w:val="20"/>
                <w:szCs w:val="20"/>
              </w:rPr>
              <w:t xml:space="preserve">690ms</w:t>
            </w:r>
          </w:p>
        </w:tc>
        <w:tc>
          <w:tcPr>
            <w:tcW w:type="dxa" w:w="2580"/>
            <w:shd w:fill="F2F2F0" w:color="auto" w:val="clear"/>
          </w:tcPr>
          <w:p>
            <w:pPr>
              <w:spacing w:after="55" w:before="55"/>
              <w:jc w:val="center"/>
            </w:pPr>
            <w:r>
              <w:rPr>
                <w:sz w:val="20"/>
                <w:szCs w:val="20"/>
              </w:rPr>
              <w:t xml:space="preserve">AWS ECS Fargate CPU</w:t>
            </w:r>
          </w:p>
        </w:tc>
      </w:tr>
    </w:tbl>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BA7517" w:color="auto" w:val="clear"/>
          </w:tcPr>
          <w:p>
            <w:pPr>
              <w:spacing w:after="80" w:before="80"/>
              <w:ind w:left="160"/>
            </w:pPr>
            <w:r>
              <w:rPr>
                <w:b/>
                <w:bCs/>
                <w:color w:val="FFFFFF"/>
                <w:sz w:val="21"/>
                <w:szCs w:val="21"/>
              </w:rPr>
              <w:t xml:space="preserve">HOW WE VALIDATED</w:t>
            </w:r>
          </w:p>
        </w:tc>
      </w:tr>
    </w:tbl>
    <w:p>
      <w:pPr>
        <w:spacing w:after="100" w:before="0"/>
      </w:pPr>
      <w:r>
        <w:rPr>
          <w:sz w:val="22"/>
          <w:szCs w:val="22"/>
        </w:rPr>
        <w:t xml:space="preserve"/>
      </w:r>
    </w:p>
    <w:p>
      <w:pPr>
        <w:spacing w:after="100" w:before="60" w:line="280" w:lineRule="auto"/>
        <w:jc w:val="both"/>
      </w:pPr>
      <w:r>
        <w:rPr>
          <w:b w:val="false"/>
          <w:bCs w:val="false"/>
          <w:i w:val="false"/>
          <w:iCs w:val="false"/>
          <w:color w:val="000000"/>
          <w:sz w:val="22"/>
          <w:szCs w:val="22"/>
        </w:rPr>
        <w:t xml:space="preserve">Four statistical tests confirmed the synthetic data faithfully represents real patient population patterns. The Frobenius norm (1.967 &lt; 2.0 threshold) confirmed preserved pairwise correlation structure. The propensity AUROC (0.606) showed a trained classifier can barely distinguish synthetic from real patients. Hotelling's T² (applied from Applied Multivariate Analysis coursework) confirmed multivariate mean equality across all features simultaneously. SHAP TreeSHAP analysis verified 77.8% clinical alignment — the model learned that HbA1c drives diabetes, creatinine drives CKD, and pack years drive COPD — not spurious correlations. A fairness audit across 33 demographic subgroup checks found all 7 flagged performance gaps have clinically justified explanations rooted in real epidemiology, not model bias.</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color="auto" w:val="clear"/>
          </w:tcPr>
          <w:p>
            <w:pPr>
              <w:spacing w:after="80" w:before="80"/>
              <w:ind w:left="160"/>
            </w:pPr>
            <w:r>
              <w:rPr>
                <w:b/>
                <w:bCs/>
                <w:color w:val="FFFFFF"/>
                <w:sz w:val="21"/>
                <w:szCs w:val="21"/>
              </w:rPr>
              <w:t xml:space="preserve">WHY A SMALL LANGUAGE MODEL?</w:t>
            </w:r>
          </w:p>
        </w:tc>
      </w:tr>
    </w:tbl>
    <w:p>
      <w:pPr>
        <w:spacing w:after="100" w:before="0"/>
      </w:pPr>
      <w:r>
        <w:rPr>
          <w:sz w:val="22"/>
          <w:szCs w:val="22"/>
        </w:rPr>
        <w:t xml:space="preserve"/>
      </w:r>
    </w:p>
    <w:p>
      <w:pPr>
        <w:spacing w:after="100" w:before="60" w:line="280" w:lineRule="auto"/>
        <w:jc w:val="both"/>
      </w:pPr>
      <w:r>
        <w:rPr>
          <w:b w:val="false"/>
          <w:bCs w:val="false"/>
          <w:i w:val="false"/>
          <w:iCs w:val="false"/>
          <w:color w:val="000000"/>
          <w:sz w:val="22"/>
          <w:szCs w:val="22"/>
        </w:rPr>
        <w:t xml:space="preserve">A Small Language Model was chosen over a tabular model for three reasons. First, privacy: the SLM is trained entirely on synthetic data, eliminating HIPAA exposure. Second, flexibility: GoEMed users have incomplete information — a user may know their age and family history but not their HbA1c. Language models handle missing inputs gracefully; tabular models degrade significantly without a complete feature vector. Third, transfer learning: Bio_ClinicalBERT, pre-trained on 880 million words of clinical notes, already understands clinical language — it requires as few as 1,000 training records to reach peak performance, making rapid iteration on new condition labels practical and cost-effective.</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D9E75" w:color="auto" w:val="clear"/>
          </w:tcPr>
          <w:p>
            <w:pPr>
              <w:spacing w:after="80" w:before="80"/>
              <w:ind w:left="160"/>
            </w:pPr>
            <w:r>
              <w:rPr>
                <w:b/>
                <w:bCs/>
                <w:color w:val="FFFFFF"/>
                <w:sz w:val="21"/>
                <w:szCs w:val="21"/>
              </w:rPr>
              <w:t xml:space="preserve">WHAT'S NEXT</w:t>
            </w:r>
          </w:p>
        </w:tc>
      </w:tr>
    </w:tbl>
    <w:p>
      <w:pPr>
        <w:spacing w:after="100" w:before="0"/>
      </w:pPr>
      <w:r>
        <w:rPr>
          <w:sz w:val="22"/>
          <w:szCs w:val="22"/>
        </w:rPr>
        <w:t xml:space="preserve"/>
      </w:r>
    </w:p>
    <w:p>
      <w:pPr>
        <w:pStyle w:val="ListParagraph"/>
        <w:numPr>
          <w:ilvl w:val="0"/>
          <w:numId w:val="1"/>
        </w:numPr>
        <w:spacing w:after="40" w:before="40"/>
        <w:ind w:left="720" w:hanging="360"/>
      </w:pPr>
      <w:r>
        <w:rPr>
          <w:sz w:val="22"/>
          <w:szCs w:val="22"/>
        </w:rPr>
        <w:t xml:space="preserve">Geographic health risk intelligence: state-specific colorectal cancer multipliers from SEER are already computed for all 50 states. Cancer Alley states (Louisiana 1.21x, Mississippi 1.25x above national average) will be surfaced to GoEMed users as an explicit regional risk layer on top of the demographic health disparity signal already embedded in NHANES/BRFSS data.</w:t>
      </w:r>
    </w:p>
    <w:p>
      <w:pPr>
        <w:pStyle w:val="ListParagraph"/>
        <w:numPr>
          <w:ilvl w:val="0"/>
          <w:numId w:val="1"/>
        </w:numPr>
        <w:spacing w:after="40" w:before="40"/>
        <w:ind w:left="720" w:hanging="360"/>
      </w:pPr>
      <w:r>
        <w:rPr>
          <w:sz w:val="22"/>
          <w:szCs w:val="22"/>
        </w:rPr>
        <w:t xml:space="preserve">Iron deficiency anemia and heart failure labels: adding hemoglobin from NHANES CBC files enables a 12th condition label and surfaces iron panel testing as a cardiac risk signal — underappreciated in consumer health tools.</w:t>
      </w:r>
    </w:p>
    <w:p>
      <w:pPr>
        <w:pStyle w:val="ListParagraph"/>
        <w:numPr>
          <w:ilvl w:val="0"/>
          <w:numId w:val="1"/>
        </w:numPr>
        <w:spacing w:after="40" w:before="40"/>
        <w:ind w:left="720" w:hanging="360"/>
      </w:pPr>
      <w:r>
        <w:rPr>
          <w:sz w:val="22"/>
          <w:szCs w:val="22"/>
        </w:rPr>
        <w:t xml:space="preserve">Hybrid inference strategy: use XGBoost for hard-threshold conditions (Hypertension, Diabetes) and Bio_ClinicalBERT for complex conditions (CVD Risk, Depression, Sleep Apnea) to eliminate the identified hypertension over-prediction limitation.</w:t>
      </w:r>
    </w:p>
    <w:p>
      <w:pPr>
        <w:pStyle w:val="ListParagraph"/>
        <w:numPr>
          <w:ilvl w:val="0"/>
          <w:numId w:val="1"/>
        </w:numPr>
        <w:spacing w:after="40" w:before="40"/>
        <w:ind w:left="720" w:hanging="360"/>
      </w:pPr>
      <w:r>
        <w:rPr>
          <w:sz w:val="22"/>
          <w:szCs w:val="22"/>
        </w:rPr>
        <w:t xml:space="preserve">Production HTTPS deployment: Application Load Balancer with ACM certificate, ECS Auto Scaling, and API key authentication before any public-facing GoEMed integration.</w:t>
      </w:r>
    </w:p>
    <w:p>
      <w:pPr>
        <w:spacing w:after="100" w:before="0"/>
      </w:pPr>
      <w:r>
        <w:rPr>
          <w:sz w:val="22"/>
          <w:szCs w:val="22"/>
        </w:rPr>
        <w:t xml:space="preserve"/>
      </w:r>
    </w:p>
    <w:p>
      <w:pPr>
        <w:spacing w:after="100" w:before="60" w:line="280" w:lineRule="auto"/>
        <w:jc w:val="both"/>
      </w:pPr>
      <w:r>
        <w:rPr>
          <w:b w:val="false"/>
          <w:bCs w:val="false"/>
          <w:i/>
          <w:iCs/>
          <w:color w:val="595959"/>
          <w:sz w:val="22"/>
          <w:szCs w:val="22"/>
        </w:rPr>
        <w:t xml:space="preserve">All code, models, and infrastructure are version-controlled across 22 commits at github.com/Deepak-Badri/goemed-synthetic-slm. The live API is accessible at http://52.91.134.254:8000.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2"/>
      </w:pBdr>
      <w:jc w:val="center"/>
    </w:pPr>
    <w:r>
      <w:rPr>
        <w:color w:val="595959"/>
        <w:sz w:val="18"/>
        <w:szCs w:val="18"/>
      </w:rPr>
      <w:t xml:space="preserve">Page </w:t>
    </w:r>
    <w:fldSimple w:instr="[object Object]"/>
    <w:r>
      <w:rPr>
        <w:color w:val="595959"/>
        <w:sz w:val="18"/>
        <w:szCs w:val="18"/>
      </w:rPr>
      <w:t xml:space="preserve">  |  github.com/Deepak-Badri/goemed-synthetic-slm  |  API: http://52.91.134.254:8000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jc w:val="right"/>
    </w:pPr>
    <w:r>
      <w:rPr>
        <w:color w:val="595959"/>
        <w:sz w:val="18"/>
        <w:szCs w:val="18"/>
      </w:rPr>
      <w:t xml:space="preserve">GoEMed Internship — Executive Summary  |  Deepak Badri  |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GoEMed Internship — Executive Summary</dc:title>
  <dc:creator>Deepak Badri</dc:creator>
  <cp:lastModifiedBy>Un-named</cp:lastModifiedBy>
  <cp:revision>1</cp:revision>
  <dcterms:created xsi:type="dcterms:W3CDTF">2026-08-10T23:27:28.744Z</dcterms:created>
  <dcterms:modified xsi:type="dcterms:W3CDTF">2026-08-10T23:27:28.764Z</dcterms:modified>
</cp:coreProperties>
</file>

<file path=docProps/custom.xml><?xml version="1.0" encoding="utf-8"?>
<Properties xmlns="http://schemas.openxmlformats.org/officeDocument/2006/custom-properties" xmlns:vt="http://schemas.openxmlformats.org/officeDocument/2006/docPropsVTypes"/>
</file>