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e9502d2a7b73a75965d5ba7379fd3f649d634b5"/>
    <w:p>
      <w:pPr>
        <w:pStyle w:val="Heading1"/>
      </w:pPr>
      <w:r>
        <w:t xml:space="preserve">Generative Forgery of Crowdsensed Sensor Streams: A Preliminary Evaluation of Trust Defenses</w:t>
      </w:r>
    </w:p>
    <w:p>
      <w:pPr>
        <w:pStyle w:val="FirstParagraph"/>
      </w:pPr>
      <w:r>
        <w:rPr>
          <w:b/>
          <w:bCs/>
        </w:rPr>
        <w:t xml:space="preserve">Technical project companion | PerCom 2027 Work-in-Progress draft | Updated from the completed India AQI run</w:t>
      </w:r>
    </w:p>
    <w:p>
      <w:pPr>
        <w:pStyle w:val="BlockText"/>
      </w:pPr>
      <w:r>
        <w:rPr>
          <w:b/>
          <w:bCs/>
        </w:rPr>
        <w:t xml:space="preserve">Purpose.</w:t>
      </w:r>
      <w:r>
        <w:t xml:space="preserve"> </w:t>
      </w:r>
      <w:r>
        <w:t xml:space="preserve">This document explains the research question, assumptions, complete experimental path, results, interpretation, limitations, and recommended next steps. It is a project guide, not a claim that the current evidence establishes field robustness.</w:t>
      </w:r>
    </w:p>
    <w:bookmarkStart w:id="9" w:name="the-idea-and-why-it-matters"/>
    <w:p>
      <w:pPr>
        <w:pStyle w:val="Heading2"/>
      </w:pPr>
      <w:r>
        <w:t xml:space="preserve">1. The idea and why it matters</w:t>
      </w:r>
    </w:p>
    <w:p>
      <w:pPr>
        <w:pStyle w:val="FirstParagraph"/>
      </w:pPr>
      <w:r>
        <w:t xml:space="preserve">Mobile crowdsensing lets many phones, low-cost devices, or community stations contribute measurements. Aggregators often use robust statistics, truth-discovery algorithms, or participant reputation to reduce bad reports. The motivating concern is that forged reports need not look like random outliers: a Sybil operator may generate time-correlated streams that resemble plausible sensors and bias an aggregate gradually.</w:t>
      </w:r>
    </w:p>
    <w:p>
      <w:pPr>
        <w:pStyle w:val="BodyText"/>
      </w:pPr>
      <w:r>
        <w:t xml:space="preserve">The project asks two linked questions:</w:t>
      </w:r>
      <w:r>
        <w:t xml:space="preserve"> </w:t>
      </w:r>
      <w:r>
        <w:rPr>
          <w:b/>
          <w:bCs/>
        </w:rPr>
        <w:t xml:space="preserve">(1)</w:t>
      </w:r>
      <w:r>
        <w:t xml:space="preserve"> </w:t>
      </w:r>
      <w:r>
        <w:t xml:space="preserve">how do common crowdsensing defenses behave when attackers submit generated, temporally plausible sensor streams?</w:t>
      </w:r>
      <w:r>
        <w:t xml:space="preserve"> </w:t>
      </w:r>
      <w:r>
        <w:rPr>
          <w:b/>
          <w:bCs/>
        </w:rPr>
        <w:t xml:space="preserve">(2)</w:t>
      </w:r>
      <w:r>
        <w:t xml:space="preserve"> </w:t>
      </w:r>
      <w:r>
        <w:t xml:space="preserve">can a lightweight stream-level detector distinguish the forgeries while keeping false alarms constrained? The WiP framing is intentionally empirical and exploratory: it measures a defined synthetic attack model and identifies where the detector does and does not work.</w:t>
      </w:r>
    </w:p>
    <w:p>
      <w:pPr>
        <w:pStyle w:val="BodyText"/>
      </w:pPr>
      <w:r>
        <w:t xml:space="preserve">The idea is useful even where the early results are mixed. A credible contribution is a repeatable comparison of defenses under a stated generative threat model, plus evidence that the detector’s performance depends on attack family and attacker capability. A good next paper can test whether these patterns persist with more data sources and stronger adaptive attackers.</w:t>
      </w:r>
    </w:p>
    <w:bookmarkEnd w:id="9"/>
    <w:bookmarkStart w:id="10" w:name="research-question-scope-and-threat-model"/>
    <w:p>
      <w:pPr>
        <w:pStyle w:val="Heading2"/>
      </w:pPr>
      <w:r>
        <w:t xml:space="preserve">2. Research question, scope, and threat model</w:t>
      </w:r>
    </w:p>
    <w:p>
      <w:pPr>
        <w:pStyle w:val="FirstParagraph"/>
      </w:pPr>
      <w:r>
        <w:t xml:space="preserve">A campaign contains honest streams and multiple Sybil streams over repeated reporting windows. The attacker observes a public proxy derived from the honest crowd, smooths it according to a resolution parameter, and adds deviations plus a shift on selected pollutant channels. The adversary can create many identities and submit streams; this experiment does not model network-layer identity creation or a deployed protocol.</w:t>
      </w:r>
    </w:p>
    <w:p>
      <w:pPr>
        <w:pStyle w:val="BodyText"/>
      </w:pPr>
      <w:r>
        <w:t xml:space="preserve">Five attack families create a progression from simple to learned forgeries:</w:t>
      </w:r>
      <w:r>
        <w:t xml:space="preserve"> </w:t>
      </w:r>
      <w:r>
        <w:t xml:space="preserve">-</w:t>
      </w:r>
      <w:r>
        <w:t xml:space="preserve"> </w:t>
      </w:r>
      <w:r>
        <w:rPr>
          <w:b/>
          <w:bCs/>
        </w:rPr>
        <w:t xml:space="preserve">White:</w:t>
      </w:r>
      <w:r>
        <w:t xml:space="preserve"> </w:t>
      </w:r>
      <w:r>
        <w:t xml:space="preserve">random/noise deviations; a crude baseline attack.</w:t>
      </w:r>
      <w:r>
        <w:t xml:space="preserve"> </w:t>
      </w:r>
      <w:r>
        <w:t xml:space="preserve">-</w:t>
      </w:r>
      <w:r>
        <w:t xml:space="preserve"> </w:t>
      </w:r>
      <w:r>
        <w:rPr>
          <w:b/>
          <w:bCs/>
        </w:rPr>
        <w:t xml:space="preserve">Replay:</w:t>
      </w:r>
      <w:r>
        <w:t xml:space="preserve"> </w:t>
      </w:r>
      <w:r>
        <w:t xml:space="preserve">reuse of previously observed deviations, testing whether temporal repetition is enough to evade checks.</w:t>
      </w:r>
      <w:r>
        <w:t xml:space="preserve"> </w:t>
      </w:r>
      <w:r>
        <w:t xml:space="preserve">-</w:t>
      </w:r>
      <w:r>
        <w:t xml:space="preserve"> </w:t>
      </w:r>
      <w:r>
        <w:rPr>
          <w:b/>
          <w:bCs/>
        </w:rPr>
        <w:t xml:space="preserve">AR:</w:t>
      </w:r>
      <w:r>
        <w:t xml:space="preserve"> </w:t>
      </w:r>
      <w:r>
        <w:t xml:space="preserve">fitted autoregressive deviations, producing serially correlated samples.</w:t>
      </w:r>
      <w:r>
        <w:t xml:space="preserve"> </w:t>
      </w:r>
      <w:r>
        <w:t xml:space="preserve">-</w:t>
      </w:r>
      <w:r>
        <w:t xml:space="preserve"> </w:t>
      </w:r>
      <w:r>
        <w:rPr>
          <w:b/>
          <w:bCs/>
        </w:rPr>
        <w:t xml:space="preserve">VAE:</w:t>
      </w:r>
      <w:r>
        <w:t xml:space="preserve"> </w:t>
      </w:r>
      <w:r>
        <w:t xml:space="preserve">an MLP variational autoencoder trained on honest deviation windows and used to generate plausible deviations.</w:t>
      </w:r>
      <w:r>
        <w:t xml:space="preserve"> </w:t>
      </w:r>
      <w:r>
        <w:t xml:space="preserve">-</w:t>
      </w:r>
      <w:r>
        <w:t xml:space="preserve"> </w:t>
      </w:r>
      <w:r>
        <w:rPr>
          <w:b/>
          <w:bCs/>
        </w:rPr>
        <w:t xml:space="preserve">Adaptive:</w:t>
      </w:r>
      <w:r>
        <w:t xml:space="preserve"> </w:t>
      </w:r>
      <w:r>
        <w:t xml:space="preserve">draw multiple VAE candidates and select the candidate whose intrinsic feature representation is closest to the honest reference. The default best-of-K value is K=50.</w:t>
      </w:r>
    </w:p>
    <w:p>
      <w:pPr>
        <w:pStyle w:val="BodyText"/>
      </w:pPr>
      <w:r>
        <w:t xml:space="preserve">The most important boundary is that these are</w:t>
      </w:r>
      <w:r>
        <w:t xml:space="preserve"> </w:t>
      </w:r>
      <w:r>
        <w:rPr>
          <w:b/>
          <w:bCs/>
        </w:rPr>
        <w:t xml:space="preserve">generated attack campaigns over recorded sensor traces</w:t>
      </w:r>
      <w:r>
        <w:t xml:space="preserve">, not observed real-world Sybil incidents. The public proxy is an explicit attacker capability. At proxy smoothing k=1, the attacker has a high-resolution, near-real-time reference in this setup; larger k means a more smoothed reference.</w:t>
      </w:r>
    </w:p>
    <w:bookmarkEnd w:id="10"/>
    <w:bookmarkStart w:id="11" w:name="data-preparation-and-split"/>
    <w:p>
      <w:pPr>
        <w:pStyle w:val="Heading2"/>
      </w:pPr>
      <w:r>
        <w:t xml:space="preserve">3. Data, preparation, and split</w:t>
      </w:r>
    </w:p>
    <w:p>
      <w:pPr>
        <w:pStyle w:val="FirstParagraph"/>
      </w:pPr>
      <w:r>
        <w:t xml:space="preserve">The completed run uses the Kaggle Air Quality Data in India files, with</w:t>
      </w:r>
      <w:r>
        <w:t xml:space="preserve"> </w:t>
      </w:r>
      <w:r>
        <w:rPr>
          <w:rStyle w:val="VerbatimChar"/>
        </w:rPr>
        <w:t xml:space="preserve">stations.csv</w:t>
      </w:r>
      <w:r>
        <w:t xml:space="preserve"> </w:t>
      </w:r>
      <w:r>
        <w:t xml:space="preserve">metadata to map station IDs to city. The selected city is Delhi. The notebook retained 30 stations with usable hourly coverage and 21,865 hours, using five channels: PM2.5, PM10, NO2, CO, and SO2. The manuscript describes the selected date interval as January 2018 through June 2020.</w:t>
      </w:r>
    </w:p>
    <w:p>
      <w:pPr>
        <w:pStyle w:val="BodyText"/>
      </w:pPr>
      <w:r>
        <w:t xml:space="preserve">Preparation in the experiment: select Delhi stations and target pollutant columns; align observations to hourly time; apply the notebook’s missing-value/usable-coverage rules; transform values using the notebook’s log transform; and standardize each channel. To avoid using held-out distribution statistics, means and standard deviations are fit using only the first 60% of the timeline, then applied to the complete timeline. The generator and detector training use the first 60%; final evaluation uses the last 40%.</w:t>
      </w:r>
    </w:p>
    <w:p>
      <w:pPr>
        <w:pStyle w:val="BodyText"/>
      </w:pPr>
      <w:r>
        <w:t xml:space="preserve">This is a temporal holdout within one city, not a cross-city or cross-device generalization test. The dataset does not provide independent ground truth for the true ambient pollutant value in each simulated campaign. Consequently, aggregate error is measured against the campaign’s honest mean, a controlled reference derived from the experiment, not an external air-quality truth label.</w:t>
      </w:r>
    </w:p>
    <w:bookmarkEnd w:id="11"/>
    <w:bookmarkStart w:id="14" w:name="end-to-end-experimental-pipeline"/>
    <w:p>
      <w:pPr>
        <w:pStyle w:val="Heading2"/>
      </w:pPr>
      <w:r>
        <w:t xml:space="preserve">4. End-to-end experimental pipeline</w:t>
      </w:r>
    </w:p>
    <w:p>
      <w:pPr>
        <w:pStyle w:val="Compact"/>
        <w:numPr>
          <w:ilvl w:val="0"/>
          <w:numId w:val="1001"/>
        </w:numPr>
      </w:pPr>
      <w:r>
        <w:rPr>
          <w:b/>
          <w:bCs/>
        </w:rPr>
        <w:t xml:space="preserve">Load and validate data.</w:t>
      </w:r>
      <w:r>
        <w:t xml:space="preserve"> </w:t>
      </w:r>
      <w:r>
        <w:t xml:space="preserve">Read hourly records and station metadata, map station IDs to city, filter the requested date interval and pollutants, then retain stations satisfying the existing coverage threshold. Missing values are handled by the notebook’s loader; no results are inserted or hardcoded.</w:t>
      </w:r>
    </w:p>
    <w:p>
      <w:pPr>
        <w:pStyle w:val="Compact"/>
        <w:numPr>
          <w:ilvl w:val="0"/>
          <w:numId w:val="1001"/>
        </w:numPr>
      </w:pPr>
      <w:r>
        <w:rPr>
          <w:b/>
          <w:bCs/>
        </w:rPr>
        <w:t xml:space="preserve">Split time.</w:t>
      </w:r>
      <w:r>
        <w:t xml:space="preserve"> </w:t>
      </w:r>
      <w:r>
        <w:t xml:space="preserve">Use the first 60% for training the generator/detectors and the final 40% for evaluation. Fit channel scaling parameters only on the training period.</w:t>
      </w:r>
    </w:p>
    <w:p>
      <w:pPr>
        <w:pStyle w:val="Compact"/>
        <w:numPr>
          <w:ilvl w:val="0"/>
          <w:numId w:val="1001"/>
        </w:numPr>
      </w:pPr>
      <w:r>
        <w:rPr>
          <w:b/>
          <w:bCs/>
        </w:rPr>
        <w:t xml:space="preserve">Construct honest pools and proxy.</w:t>
      </w:r>
      <w:r>
        <w:t xml:space="preserve"> </w:t>
      </w:r>
      <w:r>
        <w:t xml:space="preserve">Build windows of length L=48 hours from available station streams. Campaigns use 20 honest participants by default. The attacker proxy is derived from a crowd reference and can be smoothed; proxy noise is 0.05 in the main configuration.</w:t>
      </w:r>
    </w:p>
    <w:p>
      <w:pPr>
        <w:pStyle w:val="Compact"/>
        <w:numPr>
          <w:ilvl w:val="0"/>
          <w:numId w:val="1001"/>
        </w:numPr>
      </w:pPr>
      <w:r>
        <w:rPr>
          <w:b/>
          <w:bCs/>
        </w:rPr>
        <w:t xml:space="preserve">Generate deviations.</w:t>
      </w:r>
      <w:r>
        <w:t xml:space="preserve"> </w:t>
      </w:r>
      <w:r>
        <w:t xml:space="preserve">Fit/supply white, replay, AR, and VAE deviations. For adaptive attacks, sample K=50 VAE candidates and select the one closest to honest behavior on the intrinsic-feature representation.</w:t>
      </w:r>
    </w:p>
    <w:p>
      <w:pPr>
        <w:pStyle w:val="Compact"/>
        <w:numPr>
          <w:ilvl w:val="0"/>
          <w:numId w:val="1001"/>
        </w:numPr>
      </w:pPr>
      <w:r>
        <w:rPr>
          <w:b/>
          <w:bCs/>
        </w:rPr>
        <w:t xml:space="preserve">Create attack campaigns.</w:t>
      </w:r>
      <w:r>
        <w:t xml:space="preserve"> </w:t>
      </w:r>
      <w:r>
        <w:t xml:space="preserve">The main configuration uses four reporting windows per campaign, Sybil fraction 0.3, and attack shift 0.4 standard deviations on PM2.5 and PM10. Each campaign is evaluated against its honest counterpart.</w:t>
      </w:r>
    </w:p>
    <w:p>
      <w:pPr>
        <w:pStyle w:val="Compact"/>
        <w:numPr>
          <w:ilvl w:val="0"/>
          <w:numId w:val="1001"/>
        </w:numPr>
      </w:pPr>
      <w:r>
        <w:rPr>
          <w:b/>
          <w:bCs/>
        </w:rPr>
        <w:t xml:space="preserve">Extract nine features.</w:t>
      </w:r>
      <w:r>
        <w:t xml:space="preserve"> </w:t>
      </w:r>
      <w:r>
        <w:t xml:space="preserve">For each stream/window, calculate residuals relative to a leave-one-out median consensus, then compute six intrinsic behavior features and three consensus-coupled features.</w:t>
      </w:r>
    </w:p>
    <w:p>
      <w:pPr>
        <w:pStyle w:val="Compact"/>
        <w:numPr>
          <w:ilvl w:val="0"/>
          <w:numId w:val="1001"/>
        </w:numPr>
      </w:pPr>
      <w:r>
        <w:rPr>
          <w:b/>
          <w:bCs/>
        </w:rPr>
        <w:t xml:space="preserve">Fit and apply methods.</w:t>
      </w:r>
      <w:r>
        <w:t xml:space="preserve"> </w:t>
      </w:r>
      <w:r>
        <w:t xml:space="preserve">Run three baseline defenses, supervised GBM variants, and a label-free Isolation Forest. The supervised detector is trained on white, replay, and AR attacks; VAE and adaptive attacks provide a test of transfer to learned forgeries.</w:t>
      </w:r>
    </w:p>
    <w:p>
      <w:pPr>
        <w:pStyle w:val="Compact"/>
        <w:numPr>
          <w:ilvl w:val="0"/>
          <w:numId w:val="1001"/>
        </w:numPr>
      </w:pPr>
      <w:r>
        <w:rPr>
          <w:b/>
          <w:bCs/>
        </w:rPr>
        <w:t xml:space="preserve">Evaluate and repeat.</w:t>
      </w:r>
      <w:r>
        <w:t xml:space="preserve"> </w:t>
      </w:r>
      <w:r>
        <w:t xml:space="preserve">Measure stream AUROC, TPR at 5% FPR, and aggregate error on attacked channels. Repeat with seeds 0, 1, and 2, report mean and sample standard deviation, and run the three parameter sweeps.</w:t>
      </w:r>
    </w:p>
    <w:p>
      <w:pPr>
        <w:pStyle w:val="Compact"/>
        <w:numPr>
          <w:ilvl w:val="0"/>
          <w:numId w:val="1001"/>
        </w:numPr>
      </w:pPr>
      <w:r>
        <w:rPr>
          <w:b/>
          <w:bCs/>
        </w:rPr>
        <w:t xml:space="preserve">Export artifacts.</w:t>
      </w:r>
      <w:r>
        <w:t xml:space="preserve"> </w:t>
      </w:r>
      <w:r>
        <w:t xml:space="preserve">Save raw per-seed results, summary metadata, LaTeX tables, figures, sweep CSVs, progress logs, and the manuscript PDF/source.</w:t>
      </w:r>
    </w:p>
    <w:bookmarkStart w:id="12" w:name="feature-groups"/>
    <w:p>
      <w:pPr>
        <w:pStyle w:val="Heading3"/>
      </w:pPr>
      <w:r>
        <w:t xml:space="preserve">Feature groups</w:t>
      </w:r>
    </w:p>
    <w:p>
      <w:pPr>
        <w:pStyle w:val="FirstParagraph"/>
      </w:pPr>
      <w:r>
        <w:t xml:space="preserve">The</w:t>
      </w:r>
      <w:r>
        <w:t xml:space="preserve"> </w:t>
      </w:r>
      <w:r>
        <w:rPr>
          <w:b/>
          <w:bCs/>
        </w:rPr>
        <w:t xml:space="preserve">six intrinsic</w:t>
      </w:r>
      <w:r>
        <w:t xml:space="preserve"> </w:t>
      </w:r>
      <w:r>
        <w:t xml:space="preserve">features summarize properties of a stream: lag-1 autocorrelation, spectral flatness, high-frequency power, kurtosis, cross-channel correlation, and heteroscedasticity. They are intended to capture patterns in the stream itself. The</w:t>
      </w:r>
      <w:r>
        <w:t xml:space="preserve"> </w:t>
      </w:r>
      <w:r>
        <w:rPr>
          <w:b/>
          <w:bCs/>
        </w:rPr>
        <w:t xml:space="preserve">three coupled</w:t>
      </w:r>
      <w:r>
        <w:t xml:space="preserve"> </w:t>
      </w:r>
      <w:r>
        <w:t xml:space="preserve">features compare behavior with the crowd reference: first-difference correlation, residual RMSE, and absolute bias. The experiment separately evaluates GBM on all nine, intrinsic-only, and coupled-only features.</w:t>
      </w:r>
    </w:p>
    <w:p>
      <w:pPr>
        <w:pStyle w:val="BodyText"/>
      </w:pPr>
      <w:r>
        <w:t xml:space="preserve">The feature extraction time recorded in</w:t>
      </w:r>
      <w:r>
        <w:t xml:space="preserve"> </w:t>
      </w:r>
      <w:r>
        <w:rPr>
          <w:rStyle w:val="VerbatimChar"/>
        </w:rPr>
        <w:t xml:space="preserve">summary.json</w:t>
      </w:r>
      <w:r>
        <w:t xml:space="preserve"> </w:t>
      </w:r>
      <w:r>
        <w:t xml:space="preserve">is</w:t>
      </w:r>
      <w:r>
        <w:t xml:space="preserve"> </w:t>
      </w:r>
      <w:r>
        <w:rPr>
          <w:b/>
          <w:bCs/>
        </w:rPr>
        <w:t xml:space="preserve">0.531 ms per stream</w:t>
      </w:r>
      <w:r>
        <w:t xml:space="preserve"> </w:t>
      </w:r>
      <w:r>
        <w:t xml:space="preserve">in a single-core timing. This measures feature computation, not the full end-to-end cost of loading data, generating attacks, fitting models, or operating a deployed service.</w:t>
      </w:r>
    </w:p>
    <w:bookmarkEnd w:id="12"/>
    <w:bookmarkStart w:id="13" w:name="defenses-and-metrics"/>
    <w:p>
      <w:pPr>
        <w:pStyle w:val="Heading3"/>
      </w:pPr>
      <w:r>
        <w:t xml:space="preserve">Defenses and metrics</w:t>
      </w:r>
    </w:p>
    <w:p>
      <w:pPr>
        <w:pStyle w:val="Compact"/>
        <w:numPr>
          <w:ilvl w:val="0"/>
          <w:numId w:val="1002"/>
        </w:numPr>
      </w:pPr>
      <w:r>
        <w:rPr>
          <w:b/>
          <w:bCs/>
        </w:rPr>
        <w:t xml:space="preserve">MAD filter:</w:t>
      </w:r>
      <w:r>
        <w:t xml:space="preserve"> </w:t>
      </w:r>
      <w:r>
        <w:t xml:space="preserve">removes reports identified as outliers using a median-absolute-deviation rule.</w:t>
      </w:r>
    </w:p>
    <w:p>
      <w:pPr>
        <w:pStyle w:val="Compact"/>
        <w:numPr>
          <w:ilvl w:val="0"/>
          <w:numId w:val="1002"/>
        </w:numPr>
      </w:pPr>
      <w:r>
        <w:rPr>
          <w:b/>
          <w:bCs/>
        </w:rPr>
        <w:t xml:space="preserve">Truth discovery:</w:t>
      </w:r>
      <w:r>
        <w:t xml:space="preserve"> </w:t>
      </w:r>
      <w:r>
        <w:t xml:space="preserve">iterative CRH-style reliability weighting and latent truth estimation.</w:t>
      </w:r>
    </w:p>
    <w:p>
      <w:pPr>
        <w:pStyle w:val="Compact"/>
        <w:numPr>
          <w:ilvl w:val="0"/>
          <w:numId w:val="1002"/>
        </w:numPr>
      </w:pPr>
      <w:r>
        <w:rPr>
          <w:b/>
          <w:bCs/>
        </w:rPr>
        <w:t xml:space="preserve">Reputation:</w:t>
      </w:r>
      <w:r>
        <w:t xml:space="preserve"> </w:t>
      </w:r>
      <w:r>
        <w:t xml:space="preserve">exponentially updated participant reliability across repeated windows.</w:t>
      </w:r>
    </w:p>
    <w:p>
      <w:pPr>
        <w:pStyle w:val="Compact"/>
        <w:numPr>
          <w:ilvl w:val="0"/>
          <w:numId w:val="1002"/>
        </w:numPr>
      </w:pPr>
      <w:r>
        <w:rPr>
          <w:b/>
          <w:bCs/>
        </w:rPr>
        <w:t xml:space="preserve">GBM all / intrinsic / coupled:</w:t>
      </w:r>
      <w:r>
        <w:t xml:space="preserve"> </w:t>
      </w:r>
      <w:r>
        <w:t xml:space="preserve">supervised gradient-boosted classification using the indicated feature set; flagged reports are removed before aggregation.</w:t>
      </w:r>
    </w:p>
    <w:p>
      <w:pPr>
        <w:pStyle w:val="Compact"/>
        <w:numPr>
          <w:ilvl w:val="0"/>
          <w:numId w:val="1002"/>
        </w:numPr>
      </w:pPr>
      <w:r>
        <w:rPr>
          <w:b/>
          <w:bCs/>
        </w:rPr>
        <w:t xml:space="preserve">IsolationForest:</w:t>
      </w:r>
      <w:r>
        <w:t xml:space="preserve"> </w:t>
      </w:r>
      <w:r>
        <w:t xml:space="preserve">label-free detector fitted to honest training streams, with its threshold set from the 95th percentile of honest scores.</w:t>
      </w:r>
    </w:p>
    <w:p>
      <w:pPr>
        <w:pStyle w:val="Compact"/>
        <w:numPr>
          <w:ilvl w:val="0"/>
          <w:numId w:val="1002"/>
        </w:numPr>
      </w:pPr>
      <w:r>
        <w:rPr>
          <w:b/>
          <w:bCs/>
        </w:rPr>
        <w:t xml:space="preserve">AUROC:</w:t>
      </w:r>
      <w:r>
        <w:t xml:space="preserve"> </w:t>
      </w:r>
      <w:r>
        <w:t xml:space="preserve">ranking quality across thresholds; higher is better.</w:t>
      </w:r>
    </w:p>
    <w:p>
      <w:pPr>
        <w:pStyle w:val="Compact"/>
        <w:numPr>
          <w:ilvl w:val="0"/>
          <w:numId w:val="1002"/>
        </w:numPr>
      </w:pPr>
      <w:r>
        <w:rPr>
          <w:b/>
          <w:bCs/>
        </w:rPr>
        <w:t xml:space="preserve">TPR@5% FPR:</w:t>
      </w:r>
      <w:r>
        <w:t xml:space="preserve"> </w:t>
      </w:r>
      <w:r>
        <w:t xml:space="preserve">detection rate at a fixed false-positive rate; more operationally constrained than AUROC.</w:t>
      </w:r>
    </w:p>
    <w:p>
      <w:pPr>
        <w:pStyle w:val="Compact"/>
        <w:numPr>
          <w:ilvl w:val="0"/>
          <w:numId w:val="1002"/>
        </w:numPr>
      </w:pPr>
      <w:r>
        <w:rPr>
          <w:b/>
          <w:bCs/>
        </w:rPr>
        <w:t xml:space="preserve">Aggregate error:</w:t>
      </w:r>
      <w:r>
        <w:t xml:space="preserve"> </w:t>
      </w:r>
      <w:r>
        <w:t xml:space="preserve">error on attacked channels relative to the honest campaign mean in standardized units; lower is better.</w:t>
      </w:r>
    </w:p>
    <w:bookmarkEnd w:id="13"/>
    <w:bookmarkEnd w:id="14"/>
    <w:bookmarkStart w:id="15" w:name="fixed-configuration-and-reproducibility"/>
    <w:p>
      <w:pPr>
        <w:pStyle w:val="Heading2"/>
      </w:pPr>
      <w:r>
        <w:t xml:space="preserve">5. Fixed configuration and reproducibility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jc w:val="right"/>
            </w:pPr>
            <w:r>
              <w:t xml:space="preserve">Completed value</w:t>
            </w:r>
          </w:p>
        </w:tc>
      </w:tr>
      <w:tr>
        <w:tc>
          <w:tcPr/>
          <w:p>
            <w:pPr>
              <w:pStyle w:val="Compact"/>
            </w:pPr>
            <w:r>
              <w:t xml:space="preserve">Mode</w:t>
            </w:r>
          </w:p>
        </w:tc>
        <w:tc>
          <w:tcPr/>
          <w:p>
            <w:pPr>
              <w:pStyle w:val="Compact"/>
              <w:jc w:val="right"/>
            </w:pPr>
            <w:r>
              <w:t xml:space="preserve">india_aqi</w:t>
            </w:r>
          </w:p>
        </w:tc>
      </w:tr>
      <w:tr>
        <w:tc>
          <w:tcPr/>
          <w:p>
            <w:pPr>
              <w:pStyle w:val="Compact"/>
            </w:pPr>
            <w:r>
              <w:t xml:space="preserve">City</w:t>
            </w:r>
          </w:p>
        </w:tc>
        <w:tc>
          <w:tcPr/>
          <w:p>
            <w:pPr>
              <w:pStyle w:val="Compact"/>
              <w:jc w:val="right"/>
            </w:pPr>
            <w:r>
              <w:t xml:space="preserve">Delhi</w:t>
            </w:r>
          </w:p>
        </w:tc>
      </w:tr>
      <w:tr>
        <w:tc>
          <w:tcPr/>
          <w:p>
            <w:pPr>
              <w:pStyle w:val="Compact"/>
            </w:pPr>
            <w:r>
              <w:t xml:space="preserve">FAST</w:t>
            </w:r>
          </w:p>
        </w:tc>
        <w:tc>
          <w:tcPr/>
          <w:p>
            <w:pPr>
              <w:pStyle w:val="Compact"/>
              <w:jc w:val="right"/>
            </w:pPr>
            <w:r>
              <w:t xml:space="preserve">false</w:t>
            </w:r>
          </w:p>
        </w:tc>
      </w:tr>
      <w:tr>
        <w:tc>
          <w:tcPr/>
          <w:p>
            <w:pPr>
              <w:pStyle w:val="Compact"/>
            </w:pPr>
            <w:r>
              <w:t xml:space="preserve">Seeds</w:t>
            </w:r>
          </w:p>
        </w:tc>
        <w:tc>
          <w:tcPr/>
          <w:p>
            <w:pPr>
              <w:pStyle w:val="Compact"/>
              <w:jc w:val="right"/>
            </w:pPr>
            <w:r>
              <w:t xml:space="preserve">0, 1, 2</w:t>
            </w:r>
          </w:p>
        </w:tc>
      </w:tr>
      <w:tr>
        <w:tc>
          <w:tcPr/>
          <w:p>
            <w:pPr>
              <w:pStyle w:val="Compact"/>
            </w:pPr>
            <w:r>
              <w:t xml:space="preserve">Usable stations</w:t>
            </w:r>
          </w:p>
        </w:tc>
        <w:tc>
          <w:tcPr/>
          <w:p>
            <w:pPr>
              <w:pStyle w:val="Compact"/>
              <w:jc w:val="right"/>
            </w:pPr>
            <w:r>
              <w:t xml:space="preserve">30</w:t>
            </w:r>
          </w:p>
        </w:tc>
      </w:tr>
      <w:tr>
        <w:tc>
          <w:tcPr/>
          <w:p>
            <w:pPr>
              <w:pStyle w:val="Compact"/>
            </w:pPr>
            <w:r>
              <w:t xml:space="preserve">Hourly observations</w:t>
            </w:r>
          </w:p>
        </w:tc>
        <w:tc>
          <w:tcPr/>
          <w:p>
            <w:pPr>
              <w:pStyle w:val="Compact"/>
              <w:jc w:val="right"/>
            </w:pPr>
            <w:r>
              <w:t xml:space="preserve">21,865</w:t>
            </w:r>
          </w:p>
        </w:tc>
      </w:tr>
      <w:tr>
        <w:tc>
          <w:tcPr/>
          <w:p>
            <w:pPr>
              <w:pStyle w:val="Compact"/>
            </w:pPr>
            <w:r>
              <w:t xml:space="preserve">Channels</w:t>
            </w:r>
          </w:p>
        </w:tc>
        <w:tc>
          <w:tcPr/>
          <w:p>
            <w:pPr>
              <w:pStyle w:val="Compact"/>
              <w:jc w:val="right"/>
            </w:pPr>
            <w:r>
              <w:t xml:space="preserve">PM2.5, PM10, NO2, CO, SO2</w:t>
            </w:r>
          </w:p>
        </w:tc>
      </w:tr>
      <w:tr>
        <w:tc>
          <w:tcPr/>
          <w:p>
            <w:pPr>
              <w:pStyle w:val="Compact"/>
            </w:pPr>
            <w:r>
              <w:t xml:space="preserve">Window length L</w:t>
            </w:r>
          </w:p>
        </w:tc>
        <w:tc>
          <w:tcPr/>
          <w:p>
            <w:pPr>
              <w:pStyle w:val="Compact"/>
              <w:jc w:val="right"/>
            </w:pPr>
            <w:r>
              <w:t xml:space="preserve">48 hours</w:t>
            </w:r>
          </w:p>
        </w:tc>
      </w:tr>
      <w:tr>
        <w:tc>
          <w:tcPr/>
          <w:p>
            <w:pPr>
              <w:pStyle w:val="Compact"/>
            </w:pPr>
            <w:r>
              <w:t xml:space="preserve">Windows per campaign R</w:t>
            </w:r>
          </w:p>
        </w:tc>
        <w:tc>
          <w:tcPr/>
          <w:p>
            <w:pPr>
              <w:pStyle w:val="Compact"/>
              <w:jc w:val="right"/>
            </w:pPr>
            <w:r>
              <w:t xml:space="preserve">4</w:t>
            </w:r>
          </w:p>
        </w:tc>
      </w:tr>
      <w:tr>
        <w:tc>
          <w:tcPr/>
          <w:p>
            <w:pPr>
              <w:pStyle w:val="Compact"/>
            </w:pPr>
            <w:r>
              <w:t xml:space="preserve">Honest participants</w:t>
            </w:r>
          </w:p>
        </w:tc>
        <w:tc>
          <w:tcPr/>
          <w:p>
            <w:pPr>
              <w:pStyle w:val="Compact"/>
              <w:jc w:val="right"/>
            </w:pPr>
            <w:r>
              <w:t xml:space="preserve">20</w:t>
            </w:r>
          </w:p>
        </w:tc>
      </w:tr>
      <w:tr>
        <w:tc>
          <w:tcPr/>
          <w:p>
            <w:pPr>
              <w:pStyle w:val="Compact"/>
            </w:pPr>
            <w:r>
              <w:t xml:space="preserve">Sybil fraction</w:t>
            </w:r>
          </w:p>
        </w:tc>
        <w:tc>
          <w:tcPr/>
          <w:p>
            <w:pPr>
              <w:pStyle w:val="Compact"/>
              <w:jc w:val="right"/>
            </w:pPr>
            <w:r>
              <w:t xml:space="preserve">0.30</w:t>
            </w:r>
          </w:p>
        </w:tc>
      </w:tr>
      <w:tr>
        <w:tc>
          <w:tcPr/>
          <w:p>
            <w:pPr>
              <w:pStyle w:val="Compact"/>
            </w:pPr>
            <w:r>
              <w:t xml:space="preserve">Attack shift</w:t>
            </w:r>
          </w:p>
        </w:tc>
        <w:tc>
          <w:tcPr/>
          <w:p>
            <w:pPr>
              <w:pStyle w:val="Compact"/>
              <w:jc w:val="right"/>
            </w:pPr>
            <w:r>
              <w:t xml:space="preserve">0.40 standard deviations</w:t>
            </w:r>
          </w:p>
        </w:tc>
      </w:tr>
      <w:tr>
        <w:tc>
          <w:tcPr/>
          <w:p>
            <w:pPr>
              <w:pStyle w:val="Compact"/>
            </w:pPr>
            <w:r>
              <w:t xml:space="preserve">Proxy noise</w:t>
            </w:r>
          </w:p>
        </w:tc>
        <w:tc>
          <w:tcPr/>
          <w:p>
            <w:pPr>
              <w:pStyle w:val="Compact"/>
              <w:jc w:val="right"/>
            </w:pPr>
            <w:r>
              <w:t xml:space="preserve">0.05</w:t>
            </w:r>
          </w:p>
        </w:tc>
      </w:tr>
      <w:tr>
        <w:tc>
          <w:tcPr/>
          <w:p>
            <w:pPr>
              <w:pStyle w:val="Compact"/>
            </w:pPr>
            <w:r>
              <w:t xml:space="preserve">Proxy smoothing k</w:t>
            </w:r>
          </w:p>
        </w:tc>
        <w:tc>
          <w:tcPr/>
          <w:p>
            <w:pPr>
              <w:pStyle w:val="Compact"/>
              <w:jc w:val="right"/>
            </w:pPr>
            <w:r>
              <w:t xml:space="preserve">1 main setting</w:t>
            </w:r>
          </w:p>
        </w:tc>
      </w:tr>
      <w:tr>
        <w:tc>
          <w:tcPr/>
          <w:p>
            <w:pPr>
              <w:pStyle w:val="Compact"/>
            </w:pPr>
            <w:r>
              <w:t xml:space="preserve">Adaptive candidate count K</w:t>
            </w:r>
          </w:p>
        </w:tc>
        <w:tc>
          <w:tcPr/>
          <w:p>
            <w:pPr>
              <w:pStyle w:val="Compact"/>
              <w:jc w:val="right"/>
            </w:pPr>
            <w:r>
              <w:t xml:space="preserve">50</w:t>
            </w:r>
          </w:p>
        </w:tc>
      </w:tr>
      <w:tr>
        <w:tc>
          <w:tcPr/>
          <w:p>
            <w:pPr>
              <w:pStyle w:val="Compact"/>
            </w:pPr>
            <w:r>
              <w:t xml:space="preserve">Train/test campaigns per forger</w:t>
            </w:r>
          </w:p>
        </w:tc>
        <w:tc>
          <w:tcPr/>
          <w:p>
            <w:pPr>
              <w:pStyle w:val="Compact"/>
              <w:jc w:val="right"/>
            </w:pPr>
            <w:r>
              <w:t xml:space="preserve">150 / 100</w:t>
            </w:r>
          </w:p>
        </w:tc>
      </w:tr>
      <w:tr>
        <w:tc>
          <w:tcPr/>
          <w:p>
            <w:pPr>
              <w:pStyle w:val="Compact"/>
            </w:pPr>
            <w:r>
              <w:t xml:space="preserve">VAE training epochs</w:t>
            </w:r>
          </w:p>
        </w:tc>
        <w:tc>
          <w:tcPr/>
          <w:p>
            <w:pPr>
              <w:pStyle w:val="Compact"/>
              <w:jc w:val="right"/>
            </w:pPr>
            <w:r>
              <w:t xml:space="preserve">60</w:t>
            </w:r>
          </w:p>
        </w:tc>
      </w:tr>
      <w:tr>
        <w:tc>
          <w:tcPr/>
          <w:p>
            <w:pPr>
              <w:pStyle w:val="Compact"/>
            </w:pPr>
            <w:r>
              <w:t xml:space="preserve">VAE generated samples</w:t>
            </w:r>
          </w:p>
        </w:tc>
        <w:tc>
          <w:tcPr/>
          <w:p>
            <w:pPr>
              <w:pStyle w:val="Compact"/>
              <w:jc w:val="right"/>
            </w:pPr>
            <w:r>
              <w:t xml:space="preserve">20,000</w:t>
            </w:r>
          </w:p>
        </w:tc>
      </w:tr>
      <w:tr>
        <w:tc>
          <w:tcPr/>
          <w:p>
            <w:pPr>
              <w:pStyle w:val="Compact"/>
            </w:pPr>
            <w:r>
              <w:t xml:space="preserve">PyTorch available</w:t>
            </w:r>
          </w:p>
        </w:tc>
        <w:tc>
          <w:tcPr/>
          <w:p>
            <w:pPr>
              <w:pStyle w:val="Compact"/>
              <w:jc w:val="right"/>
            </w:pPr>
            <w:r>
              <w:t xml:space="preserve">true</w:t>
            </w:r>
          </w:p>
        </w:tc>
      </w:tr>
      <w:tr>
        <w:tc>
          <w:tcPr/>
          <w:p>
            <w:pPr>
              <w:pStyle w:val="Compact"/>
            </w:pPr>
            <w:r>
              <w:t xml:space="preserve">Scaler fit</w:t>
            </w:r>
          </w:p>
        </w:tc>
        <w:tc>
          <w:tcPr/>
          <w:p>
            <w:pPr>
              <w:pStyle w:val="Compact"/>
              <w:jc w:val="right"/>
            </w:pPr>
            <w:r>
              <w:t xml:space="preserve">first 60% of timeline only</w:t>
            </w:r>
          </w:p>
        </w:tc>
      </w:tr>
      <w:tr>
        <w:tc>
          <w:tcPr/>
          <w:p>
            <w:pPr>
              <w:pStyle w:val="Compact"/>
            </w:pPr>
            <w:r>
              <w:t xml:space="preserve">Feature latency</w:t>
            </w:r>
          </w:p>
        </w:tc>
        <w:tc>
          <w:tcPr/>
          <w:p>
            <w:pPr>
              <w:pStyle w:val="Compact"/>
              <w:jc w:val="right"/>
            </w:pPr>
            <w:r>
              <w:t xml:space="preserve">0.531 ms/stream</w:t>
            </w:r>
          </w:p>
        </w:tc>
      </w:tr>
    </w:tbl>
    <w:p>
      <w:pPr>
        <w:pStyle w:val="BodyText"/>
      </w:pPr>
      <w:r>
        <w:t xml:space="preserve">The executed notebook summary confirms the requested mode,</w:t>
      </w:r>
      <w:r>
        <w:t xml:space="preserve"> </w:t>
      </w:r>
      <w:r>
        <w:rPr>
          <w:rStyle w:val="VerbatimChar"/>
        </w:rPr>
        <w:t xml:space="preserve">FAST=false</w:t>
      </w:r>
      <w:r>
        <w:t xml:space="preserve">, PyTorch enabled, and three seeds. A PCA-style generator fallback exists in the notebook for environments without PyTorch, but it was</w:t>
      </w:r>
      <w:r>
        <w:t xml:space="preserve"> </w:t>
      </w:r>
      <w:r>
        <w:rPr>
          <w:b/>
          <w:bCs/>
        </w:rPr>
        <w:t xml:space="preserve">not used</w:t>
      </w:r>
      <w:r>
        <w:t xml:space="preserve"> </w:t>
      </w:r>
      <w:r>
        <w:t xml:space="preserve">in this run. The run was performed on a Python 3.14.3 environment rather than the requested Python 3.10+ baseline; relevant versions recorded in the summary are NumPy 2.5.0, pandas 3.0.5, SciPy 1.18.0, scikit-learn 1.9.0, and PyTorch 2.12.1. These versions should be captured if the experiment is rerun.</w:t>
      </w:r>
    </w:p>
    <w:bookmarkEnd w:id="15"/>
    <w:bookmarkStart w:id="16" w:name="main-results-complete-auroc-matrix"/>
    <w:p>
      <w:pPr>
        <w:pStyle w:val="Heading2"/>
      </w:pPr>
      <w:r>
        <w:t xml:space="preserve">6. Main results: complete AUROC matrix</w:t>
      </w:r>
    </w:p>
    <w:p>
      <w:pPr>
        <w:pStyle w:val="FirstParagraph"/>
      </w:pPr>
      <w:r>
        <w:t xml:space="preserve">Values are mean ± sample standard deviation over three seeds. Dashes for the undefended mean indicate that it produces no detector score, so AUROC is not defined.</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Method</w:t>
            </w:r>
          </w:p>
        </w:tc>
        <w:tc>
          <w:tcPr/>
          <w:p>
            <w:pPr>
              <w:pStyle w:val="Compact"/>
              <w:jc w:val="right"/>
            </w:pPr>
            <w:r>
              <w:t xml:space="preserve">White</w:t>
            </w:r>
          </w:p>
        </w:tc>
        <w:tc>
          <w:tcPr/>
          <w:p>
            <w:pPr>
              <w:pStyle w:val="Compact"/>
              <w:jc w:val="right"/>
            </w:pPr>
            <w:r>
              <w:t xml:space="preserve">Replay</w:t>
            </w:r>
          </w:p>
        </w:tc>
        <w:tc>
          <w:tcPr/>
          <w:p>
            <w:pPr>
              <w:pStyle w:val="Compact"/>
              <w:jc w:val="right"/>
            </w:pPr>
            <w:r>
              <w:t xml:space="preserve">AR</w:t>
            </w:r>
          </w:p>
        </w:tc>
        <w:tc>
          <w:tcPr/>
          <w:p>
            <w:pPr>
              <w:pStyle w:val="Compact"/>
              <w:jc w:val="right"/>
            </w:pPr>
            <w:r>
              <w:t xml:space="preserve">VAE</w:t>
            </w:r>
          </w:p>
        </w:tc>
        <w:tc>
          <w:tcPr/>
          <w:p>
            <w:pPr>
              <w:pStyle w:val="Compact"/>
              <w:jc w:val="right"/>
            </w:pPr>
            <w:r>
              <w:t xml:space="preserve">Adaptive</w:t>
            </w:r>
          </w:p>
        </w:tc>
      </w:tr>
      <w:tr>
        <w:tc>
          <w:tcPr/>
          <w:p>
            <w:pPr>
              <w:pStyle w:val="Compact"/>
            </w:pPr>
            <w:r>
              <w:t xml:space="preserve">Mean (no defense)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MAD filter</w:t>
            </w:r>
          </w:p>
        </w:tc>
        <w:tc>
          <w:tcPr/>
          <w:p>
            <w:pPr>
              <w:pStyle w:val="Compact"/>
              <w:jc w:val="right"/>
            </w:pPr>
            <w:r>
              <w:t xml:space="preserve">0.676 ± 0.012</w:t>
            </w:r>
          </w:p>
        </w:tc>
        <w:tc>
          <w:tcPr/>
          <w:p>
            <w:pPr>
              <w:pStyle w:val="Compact"/>
              <w:jc w:val="right"/>
            </w:pPr>
            <w:r>
              <w:t xml:space="preserve">0.640 ± 0.007</w:t>
            </w:r>
          </w:p>
        </w:tc>
        <w:tc>
          <w:tcPr/>
          <w:p>
            <w:pPr>
              <w:pStyle w:val="Compact"/>
              <w:jc w:val="right"/>
            </w:pPr>
            <w:r>
              <w:t xml:space="preserve">0.672 ± 0.011</w:t>
            </w:r>
          </w:p>
        </w:tc>
        <w:tc>
          <w:tcPr/>
          <w:p>
            <w:pPr>
              <w:pStyle w:val="Compact"/>
              <w:jc w:val="right"/>
            </w:pPr>
            <w:r>
              <w:t xml:space="preserve">0.675 ± 0.009</w:t>
            </w:r>
          </w:p>
        </w:tc>
        <w:tc>
          <w:tcPr/>
          <w:p>
            <w:pPr>
              <w:pStyle w:val="Compact"/>
              <w:jc w:val="right"/>
            </w:pPr>
            <w:r>
              <w:t xml:space="preserve">0.772 ± 0.011</w:t>
            </w:r>
          </w:p>
        </w:tc>
      </w:tr>
      <w:tr>
        <w:tc>
          <w:tcPr/>
          <w:p>
            <w:pPr>
              <w:pStyle w:val="Compact"/>
            </w:pPr>
            <w:r>
              <w:t xml:space="preserve">Truth discovery</w:t>
            </w:r>
          </w:p>
        </w:tc>
        <w:tc>
          <w:tcPr/>
          <w:p>
            <w:pPr>
              <w:pStyle w:val="Compact"/>
              <w:jc w:val="right"/>
            </w:pPr>
            <w:r>
              <w:t xml:space="preserve">0.629 ± 0.005</w:t>
            </w:r>
          </w:p>
        </w:tc>
        <w:tc>
          <w:tcPr/>
          <w:p>
            <w:pPr>
              <w:pStyle w:val="Compact"/>
              <w:jc w:val="right"/>
            </w:pPr>
            <w:r>
              <w:t xml:space="preserve">0.590 ± 0.005</w:t>
            </w:r>
          </w:p>
        </w:tc>
        <w:tc>
          <w:tcPr/>
          <w:p>
            <w:pPr>
              <w:pStyle w:val="Compact"/>
              <w:jc w:val="right"/>
            </w:pPr>
            <w:r>
              <w:t xml:space="preserve">0.625 ± 0.005</w:t>
            </w:r>
          </w:p>
        </w:tc>
        <w:tc>
          <w:tcPr/>
          <w:p>
            <w:pPr>
              <w:pStyle w:val="Compact"/>
              <w:jc w:val="right"/>
            </w:pPr>
            <w:r>
              <w:t xml:space="preserve">0.610 ± 0.007</w:t>
            </w:r>
          </w:p>
        </w:tc>
        <w:tc>
          <w:tcPr/>
          <w:p>
            <w:pPr>
              <w:pStyle w:val="Compact"/>
              <w:jc w:val="right"/>
            </w:pPr>
            <w:r>
              <w:t xml:space="preserve">0.717 ± 0.015</w:t>
            </w:r>
          </w:p>
        </w:tc>
      </w:tr>
      <w:tr>
        <w:tc>
          <w:tcPr/>
          <w:p>
            <w:pPr>
              <w:pStyle w:val="Compact"/>
            </w:pPr>
            <w:r>
              <w:t xml:space="preserve">Reputation</w:t>
            </w:r>
          </w:p>
        </w:tc>
        <w:tc>
          <w:tcPr/>
          <w:p>
            <w:pPr>
              <w:pStyle w:val="Compact"/>
              <w:jc w:val="right"/>
            </w:pPr>
            <w:r>
              <w:t xml:space="preserve">0.630 ± 0.003</w:t>
            </w:r>
          </w:p>
        </w:tc>
        <w:tc>
          <w:tcPr/>
          <w:p>
            <w:pPr>
              <w:pStyle w:val="Compact"/>
              <w:jc w:val="right"/>
            </w:pPr>
            <w:r>
              <w:t xml:space="preserve">0.598 ± 0.005</w:t>
            </w:r>
          </w:p>
        </w:tc>
        <w:tc>
          <w:tcPr/>
          <w:p>
            <w:pPr>
              <w:pStyle w:val="Compact"/>
              <w:jc w:val="right"/>
            </w:pPr>
            <w:r>
              <w:t xml:space="preserve">0.628 ± 0.005</w:t>
            </w:r>
          </w:p>
        </w:tc>
        <w:tc>
          <w:tcPr/>
          <w:p>
            <w:pPr>
              <w:pStyle w:val="Compact"/>
              <w:jc w:val="right"/>
            </w:pPr>
            <w:r>
              <w:t xml:space="preserve">0.615 ± 0.006</w:t>
            </w:r>
          </w:p>
        </w:tc>
        <w:tc>
          <w:tcPr/>
          <w:p>
            <w:pPr>
              <w:pStyle w:val="Compact"/>
              <w:jc w:val="right"/>
            </w:pPr>
            <w:r>
              <w:t xml:space="preserve">0.707 ± 0.012</w:t>
            </w:r>
          </w:p>
        </w:tc>
      </w:tr>
      <w:tr>
        <w:tc>
          <w:tcPr/>
          <w:p>
            <w:pPr>
              <w:pStyle w:val="Compact"/>
            </w:pPr>
            <w:r>
              <w:t xml:space="preserve">GBM (all)</w:t>
            </w:r>
          </w:p>
        </w:tc>
        <w:tc>
          <w:tcPr/>
          <w:p>
            <w:pPr>
              <w:pStyle w:val="Compact"/>
              <w:jc w:val="right"/>
            </w:pPr>
            <w:r>
              <w:t xml:space="preserve">1.000 ± 0.000</w:t>
            </w:r>
          </w:p>
        </w:tc>
        <w:tc>
          <w:tcPr/>
          <w:p>
            <w:pPr>
              <w:pStyle w:val="Compact"/>
              <w:jc w:val="right"/>
            </w:pPr>
            <w:r>
              <w:t xml:space="preserve">0.827 ± 0.003</w:t>
            </w:r>
          </w:p>
        </w:tc>
        <w:tc>
          <w:tcPr/>
          <w:p>
            <w:pPr>
              <w:pStyle w:val="Compact"/>
              <w:jc w:val="right"/>
            </w:pPr>
            <w:r>
              <w:t xml:space="preserve">0.984 ± 0.001</w:t>
            </w:r>
          </w:p>
        </w:tc>
        <w:tc>
          <w:tcPr/>
          <w:p>
            <w:pPr>
              <w:pStyle w:val="Compact"/>
              <w:jc w:val="right"/>
            </w:pPr>
            <w:r>
              <w:t xml:space="preserve">0.990 ± 0.003</w:t>
            </w:r>
          </w:p>
        </w:tc>
        <w:tc>
          <w:tcPr/>
          <w:p>
            <w:pPr>
              <w:pStyle w:val="Compact"/>
              <w:jc w:val="right"/>
            </w:pPr>
            <w:r>
              <w:t xml:space="preserve">0.964 ± 0.008</w:t>
            </w:r>
          </w:p>
        </w:tc>
      </w:tr>
      <w:tr>
        <w:tc>
          <w:tcPr/>
          <w:p>
            <w:pPr>
              <w:pStyle w:val="Compact"/>
            </w:pPr>
            <w:r>
              <w:t xml:space="preserve">GBM (intrinsic)</w:t>
            </w:r>
          </w:p>
        </w:tc>
        <w:tc>
          <w:tcPr/>
          <w:p>
            <w:pPr>
              <w:pStyle w:val="Compact"/>
              <w:jc w:val="right"/>
            </w:pPr>
            <w:r>
              <w:t xml:space="preserve">1.000 ± 0.000</w:t>
            </w:r>
          </w:p>
        </w:tc>
        <w:tc>
          <w:tcPr/>
          <w:p>
            <w:pPr>
              <w:pStyle w:val="Compact"/>
              <w:jc w:val="right"/>
            </w:pPr>
            <w:r>
              <w:t xml:space="preserve">0.773 ± 0.005</w:t>
            </w:r>
          </w:p>
        </w:tc>
        <w:tc>
          <w:tcPr/>
          <w:p>
            <w:pPr>
              <w:pStyle w:val="Compact"/>
              <w:jc w:val="right"/>
            </w:pPr>
            <w:r>
              <w:t xml:space="preserve">0.981 ± 0.002</w:t>
            </w:r>
          </w:p>
        </w:tc>
        <w:tc>
          <w:tcPr/>
          <w:p>
            <w:pPr>
              <w:pStyle w:val="Compact"/>
              <w:jc w:val="right"/>
            </w:pPr>
            <w:r>
              <w:t xml:space="preserve">0.991 ± 0.001</w:t>
            </w:r>
          </w:p>
        </w:tc>
        <w:tc>
          <w:tcPr/>
          <w:p>
            <w:pPr>
              <w:pStyle w:val="Compact"/>
              <w:jc w:val="right"/>
            </w:pPr>
            <w:r>
              <w:t xml:space="preserve">0.966 ± 0.008</w:t>
            </w:r>
          </w:p>
        </w:tc>
      </w:tr>
      <w:tr>
        <w:tc>
          <w:tcPr/>
          <w:p>
            <w:pPr>
              <w:pStyle w:val="Compact"/>
            </w:pPr>
            <w:r>
              <w:t xml:space="preserve">GBM (coupled)</w:t>
            </w:r>
          </w:p>
        </w:tc>
        <w:tc>
          <w:tcPr/>
          <w:p>
            <w:pPr>
              <w:pStyle w:val="Compact"/>
              <w:jc w:val="right"/>
            </w:pPr>
            <w:r>
              <w:t xml:space="preserve">0.813 ± 0.002</w:t>
            </w:r>
          </w:p>
        </w:tc>
        <w:tc>
          <w:tcPr/>
          <w:p>
            <w:pPr>
              <w:pStyle w:val="Compact"/>
              <w:jc w:val="right"/>
            </w:pPr>
            <w:r>
              <w:t xml:space="preserve">0.627 ± 0.011</w:t>
            </w:r>
          </w:p>
        </w:tc>
        <w:tc>
          <w:tcPr/>
          <w:p>
            <w:pPr>
              <w:pStyle w:val="Compact"/>
              <w:jc w:val="right"/>
            </w:pPr>
            <w:r>
              <w:t xml:space="preserve">0.780 ± 0.008</w:t>
            </w:r>
          </w:p>
        </w:tc>
        <w:tc>
          <w:tcPr/>
          <w:p>
            <w:pPr>
              <w:pStyle w:val="Compact"/>
              <w:jc w:val="right"/>
            </w:pPr>
            <w:r>
              <w:t xml:space="preserve">0.811 ± 0.010</w:t>
            </w:r>
          </w:p>
        </w:tc>
        <w:tc>
          <w:tcPr/>
          <w:p>
            <w:pPr>
              <w:pStyle w:val="Compact"/>
              <w:jc w:val="right"/>
            </w:pPr>
            <w:r>
              <w:t xml:space="preserve">0.755 ± 0.022</w:t>
            </w:r>
          </w:p>
        </w:tc>
      </w:tr>
      <w:tr>
        <w:tc>
          <w:tcPr/>
          <w:p>
            <w:pPr>
              <w:pStyle w:val="Compact"/>
            </w:pPr>
            <w:r>
              <w:t xml:space="preserve">IsoForest (label-free)</w:t>
            </w:r>
          </w:p>
        </w:tc>
        <w:tc>
          <w:tcPr/>
          <w:p>
            <w:pPr>
              <w:pStyle w:val="Compact"/>
              <w:jc w:val="right"/>
            </w:pPr>
            <w:r>
              <w:t xml:space="preserve">0.997 ± 0.001</w:t>
            </w:r>
          </w:p>
        </w:tc>
        <w:tc>
          <w:tcPr/>
          <w:p>
            <w:pPr>
              <w:pStyle w:val="Compact"/>
              <w:jc w:val="right"/>
            </w:pPr>
            <w:r>
              <w:t xml:space="preserve">0.525 ± 0.018</w:t>
            </w:r>
          </w:p>
        </w:tc>
        <w:tc>
          <w:tcPr/>
          <w:p>
            <w:pPr>
              <w:pStyle w:val="Compact"/>
              <w:jc w:val="right"/>
            </w:pPr>
            <w:r>
              <w:t xml:space="preserve">0.634 ± 0.027</w:t>
            </w:r>
          </w:p>
        </w:tc>
        <w:tc>
          <w:tcPr/>
          <w:p>
            <w:pPr>
              <w:pStyle w:val="Compact"/>
              <w:jc w:val="right"/>
            </w:pPr>
            <w:r>
              <w:t xml:space="preserve">0.987 ± 0.001</w:t>
            </w:r>
          </w:p>
        </w:tc>
        <w:tc>
          <w:tcPr/>
          <w:p>
            <w:pPr>
              <w:pStyle w:val="Compact"/>
              <w:jc w:val="right"/>
            </w:pPr>
            <w:r>
              <w:t xml:space="preserve">0.909 ± 0.006</w:t>
            </w:r>
          </w:p>
        </w:tc>
      </w:tr>
    </w:tbl>
    <w:bookmarkEnd w:id="16"/>
    <w:bookmarkStart w:id="17" w:name="main-results-tpr-at-5-fpr"/>
    <w:p>
      <w:pPr>
        <w:pStyle w:val="Heading2"/>
      </w:pPr>
      <w:r>
        <w:t xml:space="preserve">7. Main results: TPR at 5% FPR</w:t>
      </w:r>
    </w:p>
    <w:p>
      <w:pPr>
        <w:pStyle w:val="FirstParagraph"/>
      </w:pPr>
      <w:r>
        <w:t xml:space="preserve">Values are mean ± sample standard deviation over three seeds. This operating point exposes a practical weakness that AUROC alone can hide: good ranking does not guarantee high recall at a low false-alarm budget.</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Method</w:t>
            </w:r>
          </w:p>
        </w:tc>
        <w:tc>
          <w:tcPr/>
          <w:p>
            <w:pPr>
              <w:pStyle w:val="Compact"/>
              <w:jc w:val="right"/>
            </w:pPr>
            <w:r>
              <w:t xml:space="preserve">White</w:t>
            </w:r>
          </w:p>
        </w:tc>
        <w:tc>
          <w:tcPr/>
          <w:p>
            <w:pPr>
              <w:pStyle w:val="Compact"/>
              <w:jc w:val="right"/>
            </w:pPr>
            <w:r>
              <w:t xml:space="preserve">Replay</w:t>
            </w:r>
          </w:p>
        </w:tc>
        <w:tc>
          <w:tcPr/>
          <w:p>
            <w:pPr>
              <w:pStyle w:val="Compact"/>
              <w:jc w:val="right"/>
            </w:pPr>
            <w:r>
              <w:t xml:space="preserve">AR</w:t>
            </w:r>
          </w:p>
        </w:tc>
        <w:tc>
          <w:tcPr/>
          <w:p>
            <w:pPr>
              <w:pStyle w:val="Compact"/>
              <w:jc w:val="right"/>
            </w:pPr>
            <w:r>
              <w:t xml:space="preserve">VAE</w:t>
            </w:r>
          </w:p>
        </w:tc>
        <w:tc>
          <w:tcPr/>
          <w:p>
            <w:pPr>
              <w:pStyle w:val="Compact"/>
              <w:jc w:val="right"/>
            </w:pPr>
            <w:r>
              <w:t xml:space="preserve">Adaptive</w:t>
            </w:r>
          </w:p>
        </w:tc>
      </w:tr>
      <w:tr>
        <w:tc>
          <w:tcPr/>
          <w:p>
            <w:pPr>
              <w:pStyle w:val="Compact"/>
            </w:pPr>
            <w:r>
              <w:t xml:space="preserve">Mean (no defense)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MAD filter</w:t>
            </w:r>
          </w:p>
        </w:tc>
        <w:tc>
          <w:tcPr/>
          <w:p>
            <w:pPr>
              <w:pStyle w:val="Compact"/>
              <w:jc w:val="right"/>
            </w:pPr>
            <w:r>
              <w:t xml:space="preserve">0.071 ± 0.009</w:t>
            </w:r>
          </w:p>
        </w:tc>
        <w:tc>
          <w:tcPr/>
          <w:p>
            <w:pPr>
              <w:pStyle w:val="Compact"/>
              <w:jc w:val="right"/>
            </w:pPr>
            <w:r>
              <w:t xml:space="preserve">0.074 ± 0.007</w:t>
            </w:r>
          </w:p>
        </w:tc>
        <w:tc>
          <w:tcPr/>
          <w:p>
            <w:pPr>
              <w:pStyle w:val="Compact"/>
              <w:jc w:val="right"/>
            </w:pPr>
            <w:r>
              <w:t xml:space="preserve">0.065 ± 0.006</w:t>
            </w:r>
          </w:p>
        </w:tc>
        <w:tc>
          <w:tcPr/>
          <w:p>
            <w:pPr>
              <w:pStyle w:val="Compact"/>
              <w:jc w:val="right"/>
            </w:pPr>
            <w:r>
              <w:t xml:space="preserve">0.035 ± 0.007</w:t>
            </w:r>
          </w:p>
        </w:tc>
        <w:tc>
          <w:tcPr/>
          <w:p>
            <w:pPr>
              <w:pStyle w:val="Compact"/>
              <w:jc w:val="right"/>
            </w:pPr>
            <w:r>
              <w:t xml:space="preserve">0.095 ± 0.012</w:t>
            </w:r>
          </w:p>
        </w:tc>
      </w:tr>
      <w:tr>
        <w:tc>
          <w:tcPr/>
          <w:p>
            <w:pPr>
              <w:pStyle w:val="Compact"/>
            </w:pPr>
            <w:r>
              <w:t xml:space="preserve">Truth discovery</w:t>
            </w:r>
          </w:p>
        </w:tc>
        <w:tc>
          <w:tcPr/>
          <w:p>
            <w:pPr>
              <w:pStyle w:val="Compact"/>
              <w:jc w:val="right"/>
            </w:pPr>
            <w:r>
              <w:t xml:space="preserve">0.036 ± 0.014</w:t>
            </w:r>
          </w:p>
        </w:tc>
        <w:tc>
          <w:tcPr/>
          <w:p>
            <w:pPr>
              <w:pStyle w:val="Compact"/>
              <w:jc w:val="right"/>
            </w:pPr>
            <w:r>
              <w:t xml:space="preserve">0.033 ± 0.002</w:t>
            </w:r>
          </w:p>
        </w:tc>
        <w:tc>
          <w:tcPr/>
          <w:p>
            <w:pPr>
              <w:pStyle w:val="Compact"/>
              <w:jc w:val="right"/>
            </w:pPr>
            <w:r>
              <w:t xml:space="preserve">0.033 ± 0.004</w:t>
            </w:r>
          </w:p>
        </w:tc>
        <w:tc>
          <w:tcPr/>
          <w:p>
            <w:pPr>
              <w:pStyle w:val="Compact"/>
              <w:jc w:val="right"/>
            </w:pPr>
            <w:r>
              <w:t xml:space="preserve">0.007 ± 0.001</w:t>
            </w:r>
          </w:p>
        </w:tc>
        <w:tc>
          <w:tcPr/>
          <w:p>
            <w:pPr>
              <w:pStyle w:val="Compact"/>
              <w:jc w:val="right"/>
            </w:pPr>
            <w:r>
              <w:t xml:space="preserve">0.015 ± 0.005</w:t>
            </w:r>
          </w:p>
        </w:tc>
      </w:tr>
      <w:tr>
        <w:tc>
          <w:tcPr/>
          <w:p>
            <w:pPr>
              <w:pStyle w:val="Compact"/>
            </w:pPr>
            <w:r>
              <w:t xml:space="preserve">Reputation</w:t>
            </w:r>
          </w:p>
        </w:tc>
        <w:tc>
          <w:tcPr/>
          <w:p>
            <w:pPr>
              <w:pStyle w:val="Compact"/>
              <w:jc w:val="right"/>
            </w:pPr>
            <w:r>
              <w:t xml:space="preserve">0.006 ± 0.000</w:t>
            </w:r>
          </w:p>
        </w:tc>
        <w:tc>
          <w:tcPr/>
          <w:p>
            <w:pPr>
              <w:pStyle w:val="Compact"/>
              <w:jc w:val="right"/>
            </w:pPr>
            <w:r>
              <w:t xml:space="preserve">0.006 ± 0.000</w:t>
            </w:r>
          </w:p>
        </w:tc>
        <w:tc>
          <w:tcPr/>
          <w:p>
            <w:pPr>
              <w:pStyle w:val="Compact"/>
              <w:jc w:val="right"/>
            </w:pPr>
            <w:r>
              <w:t xml:space="preserve">0.006 ± 0.001</w:t>
            </w:r>
          </w:p>
        </w:tc>
        <w:tc>
          <w:tcPr/>
          <w:p>
            <w:pPr>
              <w:pStyle w:val="Compact"/>
              <w:jc w:val="right"/>
            </w:pPr>
            <w:r>
              <w:t xml:space="preserve">0.001 ± 0.000</w:t>
            </w:r>
          </w:p>
        </w:tc>
        <w:tc>
          <w:tcPr/>
          <w:p>
            <w:pPr>
              <w:pStyle w:val="Compact"/>
              <w:jc w:val="right"/>
            </w:pPr>
            <w:r>
              <w:t xml:space="preserve">0.009 ± 0.003</w:t>
            </w:r>
          </w:p>
        </w:tc>
      </w:tr>
      <w:tr>
        <w:tc>
          <w:tcPr/>
          <w:p>
            <w:pPr>
              <w:pStyle w:val="Compact"/>
            </w:pPr>
            <w:r>
              <w:t xml:space="preserve">GBM (all)</w:t>
            </w:r>
          </w:p>
        </w:tc>
        <w:tc>
          <w:tcPr/>
          <w:p>
            <w:pPr>
              <w:pStyle w:val="Compact"/>
              <w:jc w:val="right"/>
            </w:pPr>
            <w:r>
              <w:t xml:space="preserve">1.000 ± 0.000</w:t>
            </w:r>
          </w:p>
        </w:tc>
        <w:tc>
          <w:tcPr/>
          <w:p>
            <w:pPr>
              <w:pStyle w:val="Compact"/>
              <w:jc w:val="right"/>
            </w:pPr>
            <w:r>
              <w:t xml:space="preserve">0.329 ± 0.014</w:t>
            </w:r>
          </w:p>
        </w:tc>
        <w:tc>
          <w:tcPr/>
          <w:p>
            <w:pPr>
              <w:pStyle w:val="Compact"/>
              <w:jc w:val="right"/>
            </w:pPr>
            <w:r>
              <w:t xml:space="preserve">0.924 ± 0.004</w:t>
            </w:r>
          </w:p>
        </w:tc>
        <w:tc>
          <w:tcPr/>
          <w:p>
            <w:pPr>
              <w:pStyle w:val="Compact"/>
              <w:jc w:val="right"/>
            </w:pPr>
            <w:r>
              <w:t xml:space="preserve">0.950 ± 0.023</w:t>
            </w:r>
          </w:p>
        </w:tc>
        <w:tc>
          <w:tcPr/>
          <w:p>
            <w:pPr>
              <w:pStyle w:val="Compact"/>
              <w:jc w:val="right"/>
            </w:pPr>
            <w:r>
              <w:t xml:space="preserve">0.801 ± 0.049</w:t>
            </w:r>
          </w:p>
        </w:tc>
      </w:tr>
      <w:tr>
        <w:tc>
          <w:tcPr/>
          <w:p>
            <w:pPr>
              <w:pStyle w:val="Compact"/>
            </w:pPr>
            <w:r>
              <w:t xml:space="preserve">GBM (intrinsic)</w:t>
            </w:r>
          </w:p>
        </w:tc>
        <w:tc>
          <w:tcPr/>
          <w:p>
            <w:pPr>
              <w:pStyle w:val="Compact"/>
              <w:jc w:val="right"/>
            </w:pPr>
            <w:r>
              <w:t xml:space="preserve">1.000 ± 0.000</w:t>
            </w:r>
          </w:p>
        </w:tc>
        <w:tc>
          <w:tcPr/>
          <w:p>
            <w:pPr>
              <w:pStyle w:val="Compact"/>
              <w:jc w:val="right"/>
            </w:pPr>
            <w:r>
              <w:t xml:space="preserve">0.235 ± 0.014</w:t>
            </w:r>
          </w:p>
        </w:tc>
        <w:tc>
          <w:tcPr/>
          <w:p>
            <w:pPr>
              <w:pStyle w:val="Compact"/>
              <w:jc w:val="right"/>
            </w:pPr>
            <w:r>
              <w:t xml:space="preserve">0.914 ± 0.008</w:t>
            </w:r>
          </w:p>
        </w:tc>
        <w:tc>
          <w:tcPr/>
          <w:p>
            <w:pPr>
              <w:pStyle w:val="Compact"/>
              <w:jc w:val="right"/>
            </w:pPr>
            <w:r>
              <w:t xml:space="preserve">0.962 ± 0.002</w:t>
            </w:r>
          </w:p>
        </w:tc>
        <w:tc>
          <w:tcPr/>
          <w:p>
            <w:pPr>
              <w:pStyle w:val="Compact"/>
              <w:jc w:val="right"/>
            </w:pPr>
            <w:r>
              <w:t xml:space="preserve">0.835 ± 0.066</w:t>
            </w:r>
          </w:p>
        </w:tc>
      </w:tr>
      <w:tr>
        <w:tc>
          <w:tcPr/>
          <w:p>
            <w:pPr>
              <w:pStyle w:val="Compact"/>
            </w:pPr>
            <w:r>
              <w:t xml:space="preserve">GBM (coupled)</w:t>
            </w:r>
          </w:p>
        </w:tc>
        <w:tc>
          <w:tcPr/>
          <w:p>
            <w:pPr>
              <w:pStyle w:val="Compact"/>
              <w:jc w:val="right"/>
            </w:pPr>
            <w:r>
              <w:t xml:space="preserve">0.185 ± 0.020</w:t>
            </w:r>
          </w:p>
        </w:tc>
        <w:tc>
          <w:tcPr/>
          <w:p>
            <w:pPr>
              <w:pStyle w:val="Compact"/>
              <w:jc w:val="right"/>
            </w:pPr>
            <w:r>
              <w:t xml:space="preserve">0.116 ± 0.009</w:t>
            </w:r>
          </w:p>
        </w:tc>
        <w:tc>
          <w:tcPr/>
          <w:p>
            <w:pPr>
              <w:pStyle w:val="Compact"/>
              <w:jc w:val="right"/>
            </w:pPr>
            <w:r>
              <w:t xml:space="preserve">0.172 ± 0.014</w:t>
            </w:r>
          </w:p>
        </w:tc>
        <w:tc>
          <w:tcPr/>
          <w:p>
            <w:pPr>
              <w:pStyle w:val="Compact"/>
              <w:jc w:val="right"/>
            </w:pPr>
            <w:r>
              <w:t xml:space="preserve">0.209 ± 0.020</w:t>
            </w:r>
          </w:p>
        </w:tc>
        <w:tc>
          <w:tcPr/>
          <w:p>
            <w:pPr>
              <w:pStyle w:val="Compact"/>
              <w:jc w:val="right"/>
            </w:pPr>
            <w:r>
              <w:t xml:space="preserve">0.144 ± 0.030</w:t>
            </w:r>
          </w:p>
        </w:tc>
      </w:tr>
      <w:tr>
        <w:tc>
          <w:tcPr/>
          <w:p>
            <w:pPr>
              <w:pStyle w:val="Compact"/>
            </w:pPr>
            <w:r>
              <w:t xml:space="preserve">IsoForest (label-free)</w:t>
            </w:r>
          </w:p>
        </w:tc>
        <w:tc>
          <w:tcPr/>
          <w:p>
            <w:pPr>
              <w:pStyle w:val="Compact"/>
              <w:jc w:val="right"/>
            </w:pPr>
            <w:r>
              <w:t xml:space="preserve">1.000 ± 0.000</w:t>
            </w:r>
          </w:p>
        </w:tc>
        <w:tc>
          <w:tcPr/>
          <w:p>
            <w:pPr>
              <w:pStyle w:val="Compact"/>
              <w:jc w:val="right"/>
            </w:pPr>
            <w:r>
              <w:t xml:space="preserve">0.096 ± 0.013</w:t>
            </w:r>
          </w:p>
        </w:tc>
        <w:tc>
          <w:tcPr/>
          <w:p>
            <w:pPr>
              <w:pStyle w:val="Compact"/>
              <w:jc w:val="right"/>
            </w:pPr>
            <w:r>
              <w:t xml:space="preserve">0.083 ± 0.016</w:t>
            </w:r>
          </w:p>
        </w:tc>
        <w:tc>
          <w:tcPr/>
          <w:p>
            <w:pPr>
              <w:pStyle w:val="Compact"/>
              <w:jc w:val="right"/>
            </w:pPr>
            <w:r>
              <w:t xml:space="preserve">0.960 ± 0.002</w:t>
            </w:r>
          </w:p>
        </w:tc>
        <w:tc>
          <w:tcPr/>
          <w:p>
            <w:pPr>
              <w:pStyle w:val="Compact"/>
              <w:jc w:val="right"/>
            </w:pPr>
            <w:r>
              <w:t xml:space="preserve">0.493 ± 0.016</w:t>
            </w:r>
          </w:p>
        </w:tc>
      </w:tr>
    </w:tbl>
    <w:bookmarkEnd w:id="17"/>
    <w:bookmarkStart w:id="21" w:name="what-the-experiment-says"/>
    <w:p>
      <w:pPr>
        <w:pStyle w:val="Heading2"/>
      </w:pPr>
      <w:r>
        <w:t xml:space="preserve">8. What the experiment says</w:t>
      </w:r>
    </w:p>
    <w:bookmarkStart w:id="18" w:name="conventional-defenses"/>
    <w:p>
      <w:pPr>
        <w:pStyle w:val="Heading3"/>
      </w:pPr>
      <w:r>
        <w:t xml:space="preserve">Conventional defenses</w:t>
      </w:r>
    </w:p>
    <w:p>
      <w:pPr>
        <w:pStyle w:val="FirstParagraph"/>
      </w:pPr>
      <w:r>
        <w:t xml:space="preserve">The three conventional defenses provide weak TPR at 5% FPR on learned attacks. For VAE/adaptive respectively, MAD obtains AUROC 0.675±0.009 / 0.772±0.011 and TPR 0.035±0.007 / 0.095±0.012. Truth discovery obtains AUROC 0.610±0.007 / 0.717±0.015 and TPR 0.007±0.001 / 0.015±0.005. Reputation obtains AUROC 0.615±0.006 / 0.707±0.012 and TPR 0.001±0.000 / 0.009±0.003.</w:t>
      </w:r>
    </w:p>
    <w:p>
      <w:pPr>
        <w:pStyle w:val="BodyText"/>
      </w:pPr>
      <w:r>
        <w:t xml:space="preserve">For aggregate error on VAE/adaptive, the undefended mean is 0.136±0.002 / 0.120±0.009. MAD yields 0.254±0.008 / 0.236±0.005; truth discovery 0.183±0.005 / 0.149±0.011; reputation 0.151±0.003 / 0.128±0.011. In this experiment all three baselines increase error relative to no defense for those two forgers. This does not mean these defenses universally harm aggregation; it means they fail under this specific attacker, parameterization, and evaluation reference.</w:t>
      </w:r>
    </w:p>
    <w:bookmarkEnd w:id="18"/>
    <w:bookmarkStart w:id="19" w:name="lightweight-gbm-and-ablations"/>
    <w:p>
      <w:pPr>
        <w:pStyle w:val="Heading3"/>
      </w:pPr>
      <w:r>
        <w:t xml:space="preserve">Lightweight GBM and ablations</w:t>
      </w:r>
    </w:p>
    <w:p>
      <w:pPr>
        <w:pStyle w:val="FirstParagraph"/>
      </w:pPr>
      <w:r>
        <w:t xml:space="preserve">GBM all achieves AUROC 0.990±0.003 and TPR 0.950±0.023 on VAE, and 0.964±0.008 / 0.801±0.049 on adaptive. However, intrinsic-only scores 0.991±0.001 / 0.962±0.002 on VAE and 0.966±0.008 / 0.835±0.066 on adaptive. Coupled-only is much weaker: VAE 0.811±0.010 / 0.209±0.020, adaptive 0.755±0.022 / 0.144±0.030.</w:t>
      </w:r>
    </w:p>
    <w:p>
      <w:pPr>
        <w:pStyle w:val="BodyText"/>
      </w:pPr>
      <w:r>
        <w:t xml:space="preserve">Interpretation: this run supports that the tested GBM transfers from crude training forgeries to these learned test forgeries, but it does</w:t>
      </w:r>
      <w:r>
        <w:t xml:space="preserve"> </w:t>
      </w:r>
      <w:r>
        <w:rPr>
          <w:b/>
          <w:bCs/>
        </w:rPr>
        <w:t xml:space="preserve">not</w:t>
      </w:r>
      <w:r>
        <w:t xml:space="preserve"> </w:t>
      </w:r>
      <w:r>
        <w:t xml:space="preserve">support a claim that crowd-coupled features drive that performance. The intrinsic-only ablation is slightly ahead on the learned attacks. That should be explicit in the paper and should guide the next experiment: investigate feature interactions, validation choice, and adaptive training/evaluation before claiming a benefit from coupling.</w:t>
      </w:r>
    </w:p>
    <w:bookmarkEnd w:id="19"/>
    <w:bookmarkStart w:id="20" w:name="label-free-isolationforest"/>
    <w:p>
      <w:pPr>
        <w:pStyle w:val="Heading3"/>
      </w:pPr>
      <w:r>
        <w:t xml:space="preserve">Label-free IsolationForest</w:t>
      </w:r>
    </w:p>
    <w:p>
      <w:pPr>
        <w:pStyle w:val="FirstParagraph"/>
      </w:pPr>
      <w:r>
        <w:t xml:space="preserve">IsolationForest gives AUROC/TPR of 0.997±0.001 / 1.000±0.000 on white and 0.987±0.001 / 0.960±0.002 on VAE. It is weak on replay (0.525±0.018 / 0.096±0.013) and AR (0.634±0.027 / 0.083±0.016); for adaptive its AUROC is 0.909±0.006 but TPR is 0.493±0.016. Thus label-free detection is not uniformly robust, particularly for replay/AR at the chosen false-positive operating point.</w:t>
      </w:r>
    </w:p>
    <w:bookmarkEnd w:id="20"/>
    <w:bookmarkEnd w:id="21"/>
    <w:bookmarkStart w:id="25" w:name="what-the-sweeps-reveal"/>
    <w:p>
      <w:pPr>
        <w:pStyle w:val="Heading2"/>
      </w:pPr>
      <w:r>
        <w:t xml:space="preserve">9. What the sweeps reveal</w:t>
      </w:r>
    </w:p>
    <w:p>
      <w:pPr>
        <w:pStyle w:val="FirstParagraph"/>
      </w:pPr>
      <w:r>
        <w:t xml:space="preserve">The outputs contain three sweeps; describe the values as observed for the tested configuration, not as general laws.</w:t>
      </w:r>
    </w:p>
    <w:p>
      <w:pPr>
        <w:pStyle w:val="BodyText"/>
      </w:pPr>
      <w:r>
        <w:rPr>
          <w:b/>
          <w:bCs/>
        </w:rPr>
        <w:t xml:space="preserve">Sybil fraction.</w:t>
      </w:r>
      <w:r>
        <w:t xml:space="preserve"> </w:t>
      </w:r>
      <w:r>
        <w:t xml:space="preserve">The sweep varies the fraction from 0.1 through 0.5. For VAE attacks, GBM aggregate error increases from 0.018 at fraction 0.1 to 0.040 at 0.5; MAD increases from 0.181 to 0.323. This indicates that more Sybil participation raises the aggregation challenge, while the GBM suppresses part of that increase in this setting.</w:t>
      </w:r>
    </w:p>
    <w:p>
      <w:pPr>
        <w:pStyle w:val="BodyText"/>
      </w:pPr>
      <w:r>
        <w:rPr>
          <w:b/>
          <w:bCs/>
        </w:rPr>
        <w:t xml:space="preserve">Attack shift.</w:t>
      </w:r>
      <w:r>
        <w:t xml:space="preserve"> </w:t>
      </w:r>
      <w:r>
        <w:t xml:space="preserve">The shift sweep covers 0.1, 0.2, 0.4, and 0.8 standard deviations. GBM VAE AUROC remains approximately 0.991 to 0.993 over the sweep; aggregate error rises from 0.025 to 0.031. Baseline aggregate errors rise markedly: MAD 0.186 to 0.324, truth discovery 0.108 to 0.288, and reputation 0.078 to 0.264.</w:t>
      </w:r>
    </w:p>
    <w:p>
      <w:pPr>
        <w:pStyle w:val="BodyText"/>
      </w:pPr>
      <w:r>
        <w:rPr>
          <w:b/>
          <w:bCs/>
        </w:rPr>
        <w:t xml:space="preserve">Attacker proxy resolution k.</w:t>
      </w:r>
      <w:r>
        <w:t xml:space="preserve"> </w:t>
      </w:r>
      <w:r>
        <w:t xml:space="preserve">In the adaptive sweep, GBM all AUROC decreases from 0.964 at k=1 to 0.677 at k=24; TPR decreases from 0.807 to 0.099. Intrinsic-only AUROC changes from 0.967 to 0.863, while IsolationForest AUROC changes from 0.924 to 0.833 and its TPR from 0.593 to 0.139. The decline as k grows is surprising because larger smoothing was described as a weaker/less detailed proxy. It may reflect how this sweep interacts with proxy construction, generated samples, or feature distributions. Treat it as a key observation to audit and reproduce, not as a settled causal conclusion.</w:t>
      </w:r>
    </w:p>
    <w:p>
      <w:pPr>
        <w:pStyle w:val="CaptionedFigure"/>
      </w:pPr>
      <w:r>
        <w:drawing>
          <wp:inline>
            <wp:extent cx="5334000" cy="1280159"/>
            <wp:effectExtent b="0" l="0" r="0" t="0"/>
            <wp:docPr descr="Sweep results exported by the notebook" title="" id="23" name="Picture"/>
            <a:graphic>
              <a:graphicData uri="http://schemas.openxmlformats.org/drawingml/2006/picture">
                <pic:pic>
                  <pic:nvPicPr>
                    <pic:cNvPr descr="fig4_sweeps.png" id="24" name="Picture"/>
                    <pic:cNvPicPr>
                      <a:picLocks noChangeArrowheads="1" noChangeAspect="1"/>
                    </pic:cNvPicPr>
                  </pic:nvPicPr>
                  <pic:blipFill>
                    <a:blip r:embed="rId22"/>
                    <a:stretch>
                      <a:fillRect/>
                    </a:stretch>
                  </pic:blipFill>
                  <pic:spPr bwMode="auto">
                    <a:xfrm>
                      <a:off x="0" y="0"/>
                      <a:ext cx="5334000" cy="1280159"/>
                    </a:xfrm>
                    <a:prstGeom prst="rect">
                      <a:avLst/>
                    </a:prstGeom>
                    <a:noFill/>
                    <a:ln w="9525">
                      <a:noFill/>
                      <a:headEnd/>
                      <a:tailEnd/>
                    </a:ln>
                  </pic:spPr>
                </pic:pic>
              </a:graphicData>
            </a:graphic>
          </wp:inline>
        </w:drawing>
      </w:r>
    </w:p>
    <w:p>
      <w:pPr>
        <w:pStyle w:val="ImageCaption"/>
      </w:pPr>
      <w:r>
        <w:t xml:space="preserve">Sweep results exported by the notebook</w:t>
      </w:r>
    </w:p>
    <w:bookmarkEnd w:id="25"/>
    <w:bookmarkStart w:id="26" w:name="how-far-the-core-question-is-answered"/>
    <w:p>
      <w:pPr>
        <w:pStyle w:val="Heading2"/>
      </w:pPr>
      <w:r>
        <w:t xml:space="preserve">10. How far the core question is answered</w:t>
      </w:r>
    </w:p>
    <w:p>
      <w:pPr>
        <w:pStyle w:val="FirstParagraph"/>
      </w:pPr>
      <w:r>
        <w:t xml:space="preserve">The experiment provides a bounded preliminary answer:</w:t>
      </w:r>
      <w:r>
        <w:t xml:space="preserve"> </w:t>
      </w:r>
      <w:r>
        <w:rPr>
          <w:b/>
          <w:bCs/>
        </w:rPr>
        <w:t xml:space="preserve">in this synthetic campaign setup over Delhi traces, the baseline defenses have low detection performance against learned forgeries at 5% FPR, while the supervised GBM detects the tested VAE/adaptive forgeries substantially better.</w:t>
      </w:r>
      <w:r>
        <w:t xml:space="preserve"> </w:t>
      </w:r>
      <w:r>
        <w:t xml:space="preserve">The ablations show that intrinsic stream cues explain at least as much as the coupled features in these tests. The proxy-resolution sweep indicates a failure boundary that deserves follow-up.</w:t>
      </w:r>
    </w:p>
    <w:p>
      <w:pPr>
        <w:pStyle w:val="BodyText"/>
      </w:pPr>
      <w:r>
        <w:t xml:space="preserve">It does not establish real-world attacker prevalence, performance against actual Sybil deployments, transfer to other cities or sensor hardware, accuracy against independent pollutant ground truth, or security under an attacker that knows and optimizes against the deployed detector. It also does not show statistical significance from only three seeds. The manuscript should therefore use terms such as “in this setup,” “preliminary,” and “synthetic attacker,” and avoid broad claims such as “robust crowdsensing defense.”</w:t>
      </w:r>
    </w:p>
    <w:bookmarkEnd w:id="26"/>
    <w:bookmarkStart w:id="27" w:name="limitations-and-threats-to-validity"/>
    <w:p>
      <w:pPr>
        <w:pStyle w:val="Heading2"/>
      </w:pPr>
      <w:r>
        <w:t xml:space="preserve">11. Limitations and threats to validity</w:t>
      </w:r>
    </w:p>
    <w:p>
      <w:pPr>
        <w:pStyle w:val="Compact"/>
        <w:numPr>
          <w:ilvl w:val="0"/>
          <w:numId w:val="1003"/>
        </w:numPr>
      </w:pPr>
      <w:r>
        <w:rPr>
          <w:b/>
          <w:bCs/>
        </w:rPr>
        <w:t xml:space="preserve">Single city and dataset:</w:t>
      </w:r>
      <w:r>
        <w:t xml:space="preserve"> </w:t>
      </w:r>
      <w:r>
        <w:t xml:space="preserve">Delhi-only results cannot establish geographic or sensor generalization.</w:t>
      </w:r>
    </w:p>
    <w:p>
      <w:pPr>
        <w:pStyle w:val="Compact"/>
        <w:numPr>
          <w:ilvl w:val="0"/>
          <w:numId w:val="1003"/>
        </w:numPr>
      </w:pPr>
      <w:r>
        <w:rPr>
          <w:b/>
          <w:bCs/>
        </w:rPr>
        <w:t xml:space="preserve">Synthetic attack campaigns:</w:t>
      </w:r>
      <w:r>
        <w:t xml:space="preserve"> </w:t>
      </w:r>
      <w:r>
        <w:t xml:space="preserve">forgers are controlled algorithms. Human or coordinated physical attacks may behave differently.</w:t>
      </w:r>
    </w:p>
    <w:p>
      <w:pPr>
        <w:pStyle w:val="Compact"/>
        <w:numPr>
          <w:ilvl w:val="0"/>
          <w:numId w:val="1003"/>
        </w:numPr>
      </w:pPr>
      <w:r>
        <w:rPr>
          <w:b/>
          <w:bCs/>
        </w:rPr>
        <w:t xml:space="preserve">One temporal holdout:</w:t>
      </w:r>
      <w:r>
        <w:t xml:space="preserve"> </w:t>
      </w:r>
      <w:r>
        <w:t xml:space="preserve">a single 60/40 split may be sensitive to seasonal or regime changes. The scaler is correctly fit on the training portion, but broader temporal validation remains needed.</w:t>
      </w:r>
    </w:p>
    <w:p>
      <w:pPr>
        <w:pStyle w:val="Compact"/>
        <w:numPr>
          <w:ilvl w:val="0"/>
          <w:numId w:val="1003"/>
        </w:numPr>
      </w:pPr>
      <w:r>
        <w:rPr>
          <w:b/>
          <w:bCs/>
        </w:rPr>
        <w:t xml:space="preserve">Reference dependence:</w:t>
      </w:r>
      <w:r>
        <w:t xml:space="preserve"> </w:t>
      </w:r>
      <w:r>
        <w:t xml:space="preserve">aggregate error uses the honest campaign mean rather than independent ground truth; the experiment tests attack-induced distortion relative to a controlled reference.</w:t>
      </w:r>
    </w:p>
    <w:p>
      <w:pPr>
        <w:pStyle w:val="Compact"/>
        <w:numPr>
          <w:ilvl w:val="0"/>
          <w:numId w:val="1003"/>
        </w:numPr>
      </w:pPr>
      <w:r>
        <w:rPr>
          <w:b/>
          <w:bCs/>
        </w:rPr>
        <w:t xml:space="preserve">Three seeds:</w:t>
      </w:r>
      <w:r>
        <w:t xml:space="preserve"> </w:t>
      </w:r>
      <w:r>
        <w:t xml:space="preserve">report mean and standard deviation; avoid implying precise uncertainty bounds or significance.</w:t>
      </w:r>
    </w:p>
    <w:p>
      <w:pPr>
        <w:pStyle w:val="Compact"/>
        <w:numPr>
          <w:ilvl w:val="0"/>
          <w:numId w:val="1003"/>
        </w:numPr>
      </w:pPr>
      <w:r>
        <w:rPr>
          <w:b/>
          <w:bCs/>
        </w:rPr>
        <w:t xml:space="preserve">Ablation result:</w:t>
      </w:r>
      <w:r>
        <w:t xml:space="preserve"> </w:t>
      </w:r>
      <w:r>
        <w:t xml:space="preserve">coupled-only is weak and intrinsic-only slightly edges all-features on VAE/adaptive. This challenges the initial expected feature story.</w:t>
      </w:r>
    </w:p>
    <w:p>
      <w:pPr>
        <w:pStyle w:val="Compact"/>
        <w:numPr>
          <w:ilvl w:val="0"/>
          <w:numId w:val="1003"/>
        </w:numPr>
      </w:pPr>
      <w:r>
        <w:rPr>
          <w:b/>
          <w:bCs/>
        </w:rPr>
        <w:t xml:space="preserve">Proxy-resolution anomaly:</w:t>
      </w:r>
      <w:r>
        <w:t xml:space="preserve"> </w:t>
      </w:r>
      <w:r>
        <w:t xml:space="preserve">performance gets worse as k increases in the adaptive sweep, contrary to the interpretation that more smoothing weakens the attacker. Verify the sweep semantics and inspect per-seed data before causal language.</w:t>
      </w:r>
    </w:p>
    <w:p>
      <w:pPr>
        <w:pStyle w:val="Compact"/>
        <w:numPr>
          <w:ilvl w:val="0"/>
          <w:numId w:val="1003"/>
        </w:numPr>
      </w:pPr>
      <w:r>
        <w:rPr>
          <w:b/>
          <w:bCs/>
        </w:rPr>
        <w:t xml:space="preserve">Threshold/operational assumptions:</w:t>
      </w:r>
      <w:r>
        <w:t xml:space="preserve"> </w:t>
      </w:r>
      <w:r>
        <w:t xml:space="preserve">5% FPR is a chosen comparison point; deployed costs and acceptable false alarms may differ.</w:t>
      </w:r>
    </w:p>
    <w:p>
      <w:pPr>
        <w:pStyle w:val="Compact"/>
        <w:numPr>
          <w:ilvl w:val="0"/>
          <w:numId w:val="1003"/>
        </w:numPr>
      </w:pPr>
      <w:r>
        <w:rPr>
          <w:b/>
          <w:bCs/>
        </w:rPr>
        <w:t xml:space="preserve">Runtime scope:</w:t>
      </w:r>
      <w:r>
        <w:t xml:space="preserve"> </w:t>
      </w:r>
      <w:r>
        <w:t xml:space="preserve">0.531 ms/stream is feature extraction only, not full pipeline or service latency.</w:t>
      </w:r>
    </w:p>
    <w:bookmarkEnd w:id="27"/>
    <w:bookmarkStart w:id="28" w:name="recommended-research-direction"/>
    <w:p>
      <w:pPr>
        <w:pStyle w:val="Heading2"/>
      </w:pPr>
      <w:r>
        <w:t xml:space="preserve">12. Recommended research direction</w:t>
      </w:r>
    </w:p>
    <w:p>
      <w:pPr>
        <w:pStyle w:val="FirstParagraph"/>
      </w:pPr>
      <w:r>
        <w:t xml:space="preserve">The most productive next direction is to turn this prototype into an auditable evaluation of adaptive stream forgery. Suggested sequence:</w:t>
      </w:r>
      <w:r>
        <w:t xml:space="preserve"> </w:t>
      </w:r>
      <w:r>
        <w:t xml:space="preserve">1.</w:t>
      </w:r>
      <w:r>
        <w:t xml:space="preserve"> </w:t>
      </w:r>
      <w:r>
        <w:rPr>
          <w:b/>
          <w:bCs/>
        </w:rPr>
        <w:t xml:space="preserve">Audit the proxy-resolution sweep first.</w:t>
      </w:r>
      <w:r>
        <w:t xml:space="preserve"> </w:t>
      </w:r>
      <w:r>
        <w:t xml:space="preserve">Confirm exactly what k means in the implementation, compare the generated proxy and attack distribution at each k, inspect metrics per seed, and test whether the observed direction is reproducible. Preserve the surprising result if confirmed.</w:t>
      </w:r>
      <w:r>
        <w:t xml:space="preserve"> </w:t>
      </w:r>
      <w:r>
        <w:t xml:space="preserve">2.</w:t>
      </w:r>
      <w:r>
        <w:t xml:space="preserve"> </w:t>
      </w:r>
      <w:r>
        <w:rPr>
          <w:b/>
          <w:bCs/>
        </w:rPr>
        <w:t xml:space="preserve">Expand temporal evaluation.</w:t>
      </w:r>
      <w:r>
        <w:t xml:space="preserve"> </w:t>
      </w:r>
      <w:r>
        <w:t xml:space="preserve">Use multiple rolling train/test splits so evaluation is not tied to one date boundary; keep all learned preprocessing fit within each training fold.</w:t>
      </w:r>
      <w:r>
        <w:t xml:space="preserve"> </w:t>
      </w:r>
      <w:r>
        <w:t xml:space="preserve">3.</w:t>
      </w:r>
      <w:r>
        <w:t xml:space="preserve"> </w:t>
      </w:r>
      <w:r>
        <w:rPr>
          <w:b/>
          <w:bCs/>
        </w:rPr>
        <w:t xml:space="preserve">Add a second city/dataset.</w:t>
      </w:r>
      <w:r>
        <w:t xml:space="preserve"> </w:t>
      </w:r>
      <w:r>
        <w:t xml:space="preserve">Keep the same features and metrics initially, then quantify cross-city transfer. This is the clearest next step toward a generalization claim.</w:t>
      </w:r>
      <w:r>
        <w:t xml:space="preserve"> </w:t>
      </w:r>
      <w:r>
        <w:t xml:space="preserve">4.</w:t>
      </w:r>
      <w:r>
        <w:t xml:space="preserve"> </w:t>
      </w:r>
      <w:r>
        <w:rPr>
          <w:b/>
          <w:bCs/>
        </w:rPr>
        <w:t xml:space="preserve">Clarify adaptive attacker knowledge.</w:t>
      </w:r>
      <w:r>
        <w:t xml:space="preserve"> </w:t>
      </w:r>
      <w:r>
        <w:t xml:space="preserve">Explicitly separate proxy access from knowledge of detector features/parameters. Add an adaptive attacker that optimizes against the deployed detector only after defining a defensible threat model.</w:t>
      </w:r>
      <w:r>
        <w:t xml:space="preserve"> </w:t>
      </w:r>
      <w:r>
        <w:t xml:space="preserve">5.</w:t>
      </w:r>
      <w:r>
        <w:t xml:space="preserve"> </w:t>
      </w:r>
      <w:r>
        <w:rPr>
          <w:b/>
          <w:bCs/>
        </w:rPr>
        <w:t xml:space="preserve">Study calibration and decision costs.</w:t>
      </w:r>
      <w:r>
        <w:t xml:space="preserve"> </w:t>
      </w:r>
      <w:r>
        <w:t xml:space="preserve">Report precision-recall or threshold curves alongside TPR@5% FPR and quantify how many honest reports are discarded and how aggregation error changes.</w:t>
      </w:r>
      <w:r>
        <w:t xml:space="preserve"> </w:t>
      </w:r>
      <w:r>
        <w:t xml:space="preserve">6.</w:t>
      </w:r>
      <w:r>
        <w:t xml:space="preserve"> </w:t>
      </w:r>
      <w:r>
        <w:rPr>
          <w:b/>
          <w:bCs/>
        </w:rPr>
        <w:t xml:space="preserve">Revisit feature contribution.</w:t>
      </w:r>
      <w:r>
        <w:t xml:space="preserve"> </w:t>
      </w:r>
      <w:r>
        <w:t xml:space="preserve">Since intrinsic-only matches all-features on learned attacks, test whether coupled features help under different crowd sizes, proxy noise, or consensus quality. Do not assume they help.</w:t>
      </w:r>
      <w:r>
        <w:t xml:space="preserve"> </w:t>
      </w:r>
      <w:r>
        <w:t xml:space="preserve">7.</w:t>
      </w:r>
      <w:r>
        <w:t xml:space="preserve"> </w:t>
      </w:r>
      <w:r>
        <w:rPr>
          <w:b/>
          <w:bCs/>
        </w:rPr>
        <w:t xml:space="preserve">Strengthen uncertainty reporting.</w:t>
      </w:r>
      <w:r>
        <w:t xml:space="preserve"> </w:t>
      </w:r>
      <w:r>
        <w:t xml:space="preserve">Increase seeds and/or campaigns, provide per-seed tables, and separate variability due to seeds from variability due to time periods.</w:t>
      </w:r>
      <w:r>
        <w:t xml:space="preserve"> </w:t>
      </w:r>
      <w:r>
        <w:t xml:space="preserve">8.</w:t>
      </w:r>
      <w:r>
        <w:t xml:space="preserve"> </w:t>
      </w:r>
      <w:r>
        <w:rPr>
          <w:b/>
          <w:bCs/>
        </w:rPr>
        <w:t xml:space="preserve">Validate against independent measurements or field traces.</w:t>
      </w:r>
      <w:r>
        <w:t xml:space="preserve"> </w:t>
      </w:r>
      <w:r>
        <w:t xml:space="preserve">If available, use a trusted monitoring reference or documented real anomalies to ground aggregation error and operational relevance.</w:t>
      </w:r>
    </w:p>
    <w:p>
      <w:pPr>
        <w:pStyle w:val="BodyText"/>
      </w:pPr>
      <w:r>
        <w:t xml:space="preserve">A sensible next claim is not “we solve Sybil attacks.” It is:</w:t>
      </w:r>
      <w:r>
        <w:t xml:space="preserve"> </w:t>
      </w:r>
      <w:r>
        <w:rPr>
          <w:b/>
          <w:bCs/>
        </w:rPr>
        <w:t xml:space="preserve">we build a transparent benchmark for generative crowdsensing forgeries, find that common defenses can fail against learned streams in a controlled real-data trace experiment, and identify both the feature and attacker-capability boundaries that need further work.</w:t>
      </w:r>
    </w:p>
    <w:bookmarkEnd w:id="28"/>
    <w:bookmarkStart w:id="29" w:name="reproducibility-and-artifact-map"/>
    <w:p>
      <w:pPr>
        <w:pStyle w:val="Heading2"/>
      </w:pPr>
      <w:r>
        <w:t xml:space="preserve">13. Reproducibility and artifact map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Role</w:t>
            </w:r>
          </w:p>
        </w:tc>
      </w:tr>
      <w:tr>
        <w:tc>
          <w:tcPr/>
          <w:p>
            <w:pPr>
              <w:pStyle w:val="Compact"/>
            </w:pPr>
            <w:r>
              <w:rPr>
                <w:rStyle w:val="VerbatimChar"/>
              </w:rPr>
              <w:t xml:space="preserve">sybil2_crowdsensing.ipynb</w:t>
            </w:r>
          </w:p>
        </w:tc>
        <w:tc>
          <w:tcPr/>
          <w:p>
            <w:pPr>
              <w:pStyle w:val="Compact"/>
            </w:pPr>
            <w:r>
              <w:t xml:space="preserve">Executed experimental pipeline and configuration</w:t>
            </w:r>
          </w:p>
        </w:tc>
      </w:tr>
      <w:tr>
        <w:tc>
          <w:tcPr/>
          <w:p>
            <w:pPr>
              <w:pStyle w:val="Compact"/>
            </w:pPr>
            <w:r>
              <w:rPr>
                <w:rStyle w:val="VerbatimChar"/>
              </w:rPr>
              <w:t xml:space="preserve">outputs_india_aqi/results_main.csv</w:t>
            </w:r>
          </w:p>
        </w:tc>
        <w:tc>
          <w:tcPr/>
          <w:p>
            <w:pPr>
              <w:pStyle w:val="Compact"/>
            </w:pPr>
            <w:r>
              <w:t xml:space="preserve">Per-seed, per-method, per-forger main outcomes</w:t>
            </w:r>
          </w:p>
        </w:tc>
      </w:tr>
      <w:tr>
        <w:tc>
          <w:tcPr/>
          <w:p>
            <w:pPr>
              <w:pStyle w:val="Compact"/>
            </w:pPr>
            <w:r>
              <w:rPr>
                <w:rStyle w:val="VerbatimChar"/>
              </w:rPr>
              <w:t xml:space="preserve">outputs_india_aqi/sweep_sybil_fraction.csv</w:t>
            </w:r>
          </w:p>
        </w:tc>
        <w:tc>
          <w:tcPr/>
          <w:p>
            <w:pPr>
              <w:pStyle w:val="Compact"/>
            </w:pPr>
            <w:r>
              <w:t xml:space="preserve">Sybil fraction sweep</w:t>
            </w:r>
          </w:p>
        </w:tc>
      </w:tr>
      <w:tr>
        <w:tc>
          <w:tcPr/>
          <w:p>
            <w:pPr>
              <w:pStyle w:val="Compact"/>
            </w:pPr>
            <w:r>
              <w:rPr>
                <w:rStyle w:val="VerbatimChar"/>
              </w:rPr>
              <w:t xml:space="preserve">outputs_india_aqi/sweep_shift.csv</w:t>
            </w:r>
          </w:p>
        </w:tc>
        <w:tc>
          <w:tcPr/>
          <w:p>
            <w:pPr>
              <w:pStyle w:val="Compact"/>
            </w:pPr>
            <w:r>
              <w:t xml:space="preserve">Attack shift sweep</w:t>
            </w:r>
          </w:p>
        </w:tc>
      </w:tr>
      <w:tr>
        <w:tc>
          <w:tcPr/>
          <w:p>
            <w:pPr>
              <w:pStyle w:val="Compact"/>
            </w:pPr>
            <w:r>
              <w:rPr>
                <w:rStyle w:val="VerbatimChar"/>
              </w:rPr>
              <w:t xml:space="preserve">outputs_india_aqi/sweep_proxy_resolution.csv</w:t>
            </w:r>
          </w:p>
        </w:tc>
        <w:tc>
          <w:tcPr/>
          <w:p>
            <w:pPr>
              <w:pStyle w:val="Compact"/>
            </w:pPr>
            <w:r>
              <w:t xml:space="preserve">Adaptive proxy-resolution sweep</w:t>
            </w:r>
          </w:p>
        </w:tc>
      </w:tr>
      <w:tr>
        <w:tc>
          <w:tcPr/>
          <w:p>
            <w:pPr>
              <w:pStyle w:val="Compact"/>
            </w:pPr>
            <w:r>
              <w:rPr>
                <w:rStyle w:val="VerbatimChar"/>
              </w:rPr>
              <w:t xml:space="preserve">outputs_india_aqi/summary.json</w:t>
            </w:r>
          </w:p>
        </w:tc>
        <w:tc>
          <w:tcPr/>
          <w:p>
            <w:pPr>
              <w:pStyle w:val="Compact"/>
            </w:pPr>
            <w:r>
              <w:t xml:space="preserve">Environment, settings, station count, seeds, latency, torch flag</w:t>
            </w:r>
          </w:p>
        </w:tc>
      </w:tr>
      <w:tr>
        <w:tc>
          <w:tcPr/>
          <w:p>
            <w:pPr>
              <w:pStyle w:val="Compact"/>
            </w:pPr>
            <w:r>
              <w:rPr>
                <w:rStyle w:val="VerbatimChar"/>
              </w:rPr>
              <w:t xml:space="preserve">outputs_india_aqi/table_*.tex</w:t>
            </w:r>
          </w:p>
        </w:tc>
        <w:tc>
          <w:tcPr/>
          <w:p>
            <w:pPr>
              <w:pStyle w:val="Compact"/>
            </w:pPr>
            <w:r>
              <w:t xml:space="preserve">LaTeX tables exported from results</w:t>
            </w:r>
          </w:p>
        </w:tc>
      </w:tr>
      <w:tr>
        <w:tc>
          <w:tcPr/>
          <w:p>
            <w:pPr>
              <w:pStyle w:val="Compact"/>
            </w:pPr>
            <w:r>
              <w:rPr>
                <w:rStyle w:val="VerbatimChar"/>
              </w:rPr>
              <w:t xml:space="preserve">outputs_india_aqi/fig0_*.png</w:t>
            </w:r>
            <w:r>
              <w:t xml:space="preserve"> </w:t>
            </w:r>
            <w:r>
              <w:t xml:space="preserve">to</w:t>
            </w:r>
            <w:r>
              <w:t xml:space="preserve"> </w:t>
            </w:r>
            <w:r>
              <w:rPr>
                <w:rStyle w:val="VerbatimChar"/>
              </w:rPr>
              <w:t xml:space="preserve">fig4_*.png</w:t>
            </w:r>
          </w:p>
        </w:tc>
        <w:tc>
          <w:tcPr/>
          <w:p>
            <w:pPr>
              <w:pStyle w:val="Compact"/>
            </w:pPr>
            <w:r>
              <w:t xml:space="preserve">Dataset view, result plots, feature/sweep figures</w:t>
            </w:r>
          </w:p>
        </w:tc>
      </w:tr>
      <w:tr>
        <w:tc>
          <w:tcPr/>
          <w:p>
            <w:pPr>
              <w:pStyle w:val="Compact"/>
            </w:pPr>
            <w:r>
              <w:rPr>
                <w:rStyle w:val="VerbatimChar"/>
              </w:rPr>
              <w:t xml:space="preserve">outputs_india_aqi/experiment_progress.log</w:t>
            </w:r>
          </w:p>
        </w:tc>
        <w:tc>
          <w:tcPr/>
          <w:p>
            <w:pPr>
              <w:pStyle w:val="Compact"/>
            </w:pPr>
            <w:r>
              <w:t xml:space="preserve">Captured progress output from notebook execution</w:t>
            </w:r>
          </w:p>
        </w:tc>
      </w:tr>
      <w:tr>
        <w:tc>
          <w:tcPr/>
          <w:p>
            <w:pPr>
              <w:pStyle w:val="Compact"/>
            </w:pPr>
            <w:r>
              <w:rPr>
                <w:rStyle w:val="VerbatimChar"/>
              </w:rPr>
              <w:t xml:space="preserve">sybil2_percom_wip_results.tex</w:t>
            </w:r>
            <w:r>
              <w:t xml:space="preserve"> </w:t>
            </w:r>
            <w:r>
              <w:t xml:space="preserve">and</w:t>
            </w:r>
            <w:r>
              <w:t xml:space="preserve"> </w:t>
            </w:r>
            <w:r>
              <w:rPr>
                <w:rStyle w:val="VerbatimChar"/>
              </w:rPr>
              <w:t xml:space="preserve">.pdf</w:t>
            </w:r>
          </w:p>
        </w:tc>
        <w:tc>
          <w:tcPr/>
          <w:p>
            <w:pPr>
              <w:pStyle w:val="Compact"/>
            </w:pPr>
            <w:r>
              <w:t xml:space="preserve">Four-page WiP manuscript draft</w:t>
            </w:r>
          </w:p>
        </w:tc>
      </w:tr>
    </w:tbl>
    <w:p>
      <w:pPr>
        <w:pStyle w:val="BodyText"/>
      </w:pPr>
      <w:r>
        <w:t xml:space="preserve">The</w:t>
      </w:r>
      <w:r>
        <w:t xml:space="preserve"> </w:t>
      </w:r>
      <w:r>
        <w:rPr>
          <w:rStyle w:val="VerbatimChar"/>
        </w:rPr>
        <w:t xml:space="preserve">final/</w:t>
      </w:r>
      <w:r>
        <w:t xml:space="preserve"> </w:t>
      </w:r>
      <w:r>
        <w:t xml:space="preserve">folder contains the notebook, manuscript source/PDF, and the figure/table fragments needed by the TeX file. The complete CSV and summary artifacts remain in</w:t>
      </w:r>
      <w:r>
        <w:t xml:space="preserve"> </w:t>
      </w:r>
      <w:r>
        <w:rPr>
          <w:rStyle w:val="VerbatimChar"/>
        </w:rPr>
        <w:t xml:space="preserve">outputs_india_aqi/</w:t>
      </w:r>
      <w:r>
        <w:t xml:space="preserve"> </w:t>
      </w:r>
      <w:r>
        <w:t xml:space="preserve">at the project root.</w:t>
      </w:r>
    </w:p>
    <w:bookmarkEnd w:id="29"/>
    <w:bookmarkStart w:id="30" w:name="submission-positioning"/>
    <w:p>
      <w:pPr>
        <w:pStyle w:val="Heading2"/>
      </w:pPr>
      <w:r>
        <w:t xml:space="preserve">14. Submission positioning</w:t>
      </w:r>
    </w:p>
    <w:p>
      <w:pPr>
        <w:pStyle w:val="FirstParagraph"/>
      </w:pPr>
      <w:r>
        <w:t xml:space="preserve">This is a plausible WiP contribution because it addresses a timely systems-security question, reports preliminary experiments, compares established defenses, and surfaces a result that invites technical discussion. Its strongest framing is candid and narrow: an initial benchmark and detector study over one city’s traces, with a learned-attack transfer result, a counterintuitive ablation, and an attacker-resolution weakness. The value of the WiP is the specific evidence and the research agenda it motivates; acceptance cannot be guaranteed, and the work should not be presented as a validated deployment-ready defense.</w:t>
      </w:r>
    </w:p>
    <w:p>
      <w:r>
        <w:pict>
          <v:rect style="width:0;height:1.5pt" o:hralign="center" o:hrstd="t" o:hr="t"/>
        </w:pict>
      </w:r>
    </w:p>
    <w:p>
      <w:pPr>
        <w:pStyle w:val="FirstParagraph"/>
      </w:pPr>
      <w:r>
        <w:rPr>
          <w:b/>
          <w:bCs/>
        </w:rPr>
        <w:t xml:space="preserve">Source of reported measurements:</w:t>
      </w:r>
      <w:r>
        <w:t xml:space="preserve"> </w:t>
      </w:r>
      <w:r>
        <w:t xml:space="preserve">project outputs in</w:t>
      </w:r>
      <w:r>
        <w:t xml:space="preserve"> </w:t>
      </w:r>
      <w:r>
        <w:rPr>
          <w:rStyle w:val="VerbatimChar"/>
        </w:rPr>
        <w:t xml:space="preserve">outputs_india_aqi/</w:t>
      </w:r>
      <w:r>
        <w:t xml:space="preserve">, especially</w:t>
      </w:r>
      <w:r>
        <w:t xml:space="preserve"> </w:t>
      </w:r>
      <w:r>
        <w:rPr>
          <w:rStyle w:val="VerbatimChar"/>
        </w:rPr>
        <w:t xml:space="preserve">results_main.csv</w:t>
      </w:r>
      <w:r>
        <w:t xml:space="preserve">, the three sweep CSVs, and</w:t>
      </w:r>
      <w:r>
        <w:t xml:space="preserve"> </w:t>
      </w:r>
      <w:r>
        <w:rPr>
          <w:rStyle w:val="VerbatimChar"/>
        </w:rPr>
        <w:t xml:space="preserve">summary.json</w:t>
      </w:r>
      <w:r>
        <w:t xml:space="preserve">. Means and standard deviations in this guide are derived directly from the three per-seed rows; the headline values are rounded to three decimals except where one extra digit is needed to make the trend clear.</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2026-10-21T18:04:34Z</dcterms:created>
  <dcterms:modified xsi:type="dcterms:W3CDTF">2026-10-21T18:04:34Z</dcterms:modified>
</cp:coreProperties>
</file>

<file path=docProps/custom.xml><?xml version="1.0" encoding="utf-8"?>
<Properties xmlns="http://schemas.openxmlformats.org/officeDocument/2006/custom-properties" xmlns:vt="http://schemas.openxmlformats.org/officeDocument/2006/docPropsVTypes"/>
</file>