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BUSINESS RESPONSIBILITY &amp; SUSTAINABILITY REPORT (SEBI BRSR CORE FY25)</w:t>
      </w:r>
    </w:p>
    <w:p>
      <w:pPr>
        <w:pStyle w:val="Heading1"/>
      </w:pPr>
      <w:r>
        <w:t>1. Principle 6: Environmental Performance &amp; Net-Zero 2038 Target</w:t>
      </w:r>
    </w:p>
    <w:p>
      <w:r>
        <w:t>• Total GHG Emissions (Scope 1 + Scope 2): 1.42 Million tCO₂e.</w:t>
      </w:r>
    </w:p>
    <w:p>
      <w:r>
        <w:t>• Specific GHG Intensity: 0.098 tCO₂e per tonne of crude processed.</w:t>
      </w:r>
    </w:p>
    <w:p>
      <w:r>
        <w:t>• Decarbonization Roadmap: ₹2,400 Crore capital commitment toward Green Hydrogen and 20MW Solar Farms.</w:t>
      </w:r>
    </w:p>
    <w:p>
      <w:pPr>
        <w:pStyle w:val="Heading1"/>
      </w:pPr>
      <w:r>
        <w:t>2. Principle 3: Employee Well-being &amp; Zero Harassment</w:t>
      </w:r>
    </w:p>
    <w:p>
      <w:r>
        <w:t>100% of permanent and contract workforce covered under comprehensive health and accident insurance.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