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ONGC - MRPL ENERGY COMPLEX</w:t>
      </w:r>
    </w:p>
    <w:p>
      <w:pPr>
        <w:jc w:val="center"/>
      </w:pPr>
      <w:r>
        <w:rPr>
          <w:b/>
        </w:rPr>
        <w:t>CONFINED SPACE ENTRY &amp; BOX-UP PERMIT — FORM C (OISD-STD-105)</w:t>
      </w:r>
    </w:p>
    <w:p>
      <w:r>
        <w:t>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Confined Vessel Particulars</w:t>
      </w:r>
    </w:p>
    <w:p>
      <w:r>
        <w:t>Vessel Tag: C-101 (Crude Fractionator Column) | Height: 48.5m | Volume: 320 m³</w:t>
      </w:r>
    </w:p>
    <w:p>
      <w:r>
        <w:t>Last Contained Fluid: Heavy Crude Gas Oil / Naphtha Fractions</w:t>
      </w:r>
    </w:p>
    <w:p>
      <w:r>
        <w:t>Standby Attendant (Outside Manway): Mr. Suresh Naik (Cert # SA-2026)</w:t>
      </w:r>
    </w:p>
    <w:p>
      <w:pPr>
        <w:pStyle w:val="Heading1"/>
      </w:pPr>
      <w:r>
        <w:t>2. Continuous 2-Hour Atmospheric Surveillance Log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Time (Hrs)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O₂ % (19.5-23.5)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LEL % (0.0%)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H₂S ppm (&lt;10)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Analyst Initials</w:t>
            </w:r>
          </w:p>
        </w:tc>
      </w:tr>
      <w:tr>
        <w:tc>
          <w:tcPr>
            <w:tcW w:type="dxa" w:w="1728"/>
          </w:tcPr>
          <w:p>
            <w:r>
              <w:t>08:00</w:t>
            </w:r>
          </w:p>
        </w:tc>
        <w:tc>
          <w:tcPr>
            <w:tcW w:type="dxa" w:w="1728"/>
          </w:tcPr>
          <w:p>
            <w:r>
              <w:t>20.9%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  <w:tc>
          <w:tcPr>
            <w:tcW w:type="dxa" w:w="1728"/>
          </w:tcPr>
          <w:p>
            <w:r>
              <w:t>0.0 ppm</w:t>
            </w:r>
          </w:p>
        </w:tc>
        <w:tc>
          <w:tcPr>
            <w:tcW w:type="dxa" w:w="1728"/>
          </w:tcPr>
          <w:p>
            <w:r>
              <w:t>QC-Analyst 1</w:t>
            </w:r>
          </w:p>
        </w:tc>
      </w:tr>
      <w:tr>
        <w:tc>
          <w:tcPr>
            <w:tcW w:type="dxa" w:w="1728"/>
          </w:tcPr>
          <w:p>
            <w:r>
              <w:t>10:00</w:t>
            </w:r>
          </w:p>
        </w:tc>
        <w:tc>
          <w:tcPr>
            <w:tcW w:type="dxa" w:w="1728"/>
          </w:tcPr>
          <w:p>
            <w:r>
              <w:t>20.8%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  <w:tc>
          <w:tcPr>
            <w:tcW w:type="dxa" w:w="1728"/>
          </w:tcPr>
          <w:p>
            <w:r>
              <w:t>0.0 ppm</w:t>
            </w:r>
          </w:p>
        </w:tc>
        <w:tc>
          <w:tcPr>
            <w:tcW w:type="dxa" w:w="1728"/>
          </w:tcPr>
          <w:p>
            <w:r>
              <w:t>QC-Analyst 1</w:t>
            </w:r>
          </w:p>
        </w:tc>
      </w:tr>
      <w:tr>
        <w:tc>
          <w:tcPr>
            <w:tcW w:type="dxa" w:w="1728"/>
          </w:tcPr>
          <w:p>
            <w:r>
              <w:t>12:00</w:t>
            </w:r>
          </w:p>
        </w:tc>
        <w:tc>
          <w:tcPr>
            <w:tcW w:type="dxa" w:w="1728"/>
          </w:tcPr>
          <w:p>
            <w:r>
              <w:t>20.9%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  <w:tc>
          <w:tcPr>
            <w:tcW w:type="dxa" w:w="1728"/>
          </w:tcPr>
          <w:p>
            <w:r>
              <w:t>0.0 ppm</w:t>
            </w:r>
          </w:p>
        </w:tc>
        <w:tc>
          <w:tcPr>
            <w:tcW w:type="dxa" w:w="1728"/>
          </w:tcPr>
          <w:p>
            <w:r>
              <w:t>QC-Analyst 2</w:t>
            </w:r>
          </w:p>
        </w:tc>
      </w:tr>
    </w:tbl>
    <w:p>
      <w:pPr>
        <w:pStyle w:val="Heading1"/>
      </w:pPr>
      <w:r>
        <w:t>3. Standby &amp; Rescue Verification</w:t>
      </w:r>
    </w:p>
    <w:p>
      <w:r>
        <w:t>Full-body safety harness with life retrieval line anchored at manway entrance.</w:t>
      </w:r>
    </w:p>
    <w:p>
      <w:r>
        <w:t>SCBA (Self-Contained Breathing Apparatus) reserve cylinders (2x 300 bar) on standby.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