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MRPL ENVIRONMENTAL MANAGEMENT CELL</w:t>
      </w:r>
    </w:p>
    <w:p>
      <w:pPr>
        <w:jc w:val="center"/>
      </w:pPr>
      <w:r>
        <w:rPr>
          <w:b/>
        </w:rPr>
        <w:t>SIX-MONTHLY ENVIRONMENTAL CLEARANCE COMPLIANCE REPORT (MoEF&amp;CC)</w:t>
      </w:r>
    </w:p>
    <w:p>
      <w:pPr>
        <w:pStyle w:val="Heading1"/>
      </w:pPr>
      <w:r>
        <w:t>1. Continuous Ambient Air &amp; Stack Emissions Status</w:t>
      </w:r>
    </w:p>
    <w:p>
      <w:r>
        <w:t>• Stack SO₂ Emissions: 142 mg/Nm³ (Strictly below CPCB limit of 250 mg/Nm³).</w:t>
      </w:r>
    </w:p>
    <w:p>
      <w:r>
        <w:t>• Ambient PM₂.₅: 38.4 µg/m³ (CPCB Limit: 60 µg/m³).</w:t>
      </w:r>
    </w:p>
    <w:p>
      <w:r>
        <w:t>• Treated Effluent BOD: 12 mg/L (Limit: 30 mg/L) — 100% recycled back into cooling water makeup.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