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MRPL ASSET INTEGRITY &amp; INSPECTION DIVISION</w:t>
      </w:r>
    </w:p>
    <w:p>
      <w:pPr>
        <w:jc w:val="center"/>
      </w:pPr>
      <w:r>
        <w:rPr>
          <w:b/>
        </w:rPr>
        <w:t>FINAL INTERNAL INSPECTION REPORT — API 510 (FIIR-SE-01)</w:t>
      </w:r>
    </w:p>
    <w:p>
      <w:pPr>
        <w:pStyle w:val="Heading1"/>
      </w:pPr>
      <w:r>
        <w:t>1. Equipment &amp; Metallurgy Particulars</w:t>
      </w:r>
    </w:p>
    <w:p>
      <w:r>
        <w:t>Vessel Tag: V-102 (Vacuum Column Overhead Accumulator) | Material: SA-516 Gr. 70 + 316L Clad</w:t>
      </w:r>
    </w:p>
    <w:p>
      <w:r>
        <w:t>Design Temp / Press: 220°C @ 4.5 bar-g | Joint Efficiency E = 1.0 (Full Radiography)</w:t>
      </w:r>
    </w:p>
    <w:p>
      <w:pPr>
        <w:pStyle w:val="Heading1"/>
      </w:pPr>
      <w:r>
        <w:t>2. Ultrasonic Thickness &amp; Corrosion Rate Evaluation</w:t>
      </w:r>
    </w:p>
    <w:p>
      <w:r>
        <w:t>• Nominal Thickness: 12.0 mm | Minimum Required (t_min): 8.4 mm</w:t>
      </w:r>
    </w:p>
    <w:p>
      <w:r>
        <w:t>• Actual Measured Thickness (t_act): 10.2 mm | Long-Term Corrosion Rate: 0.12 mm/year</w:t>
      </w:r>
    </w:p>
    <w:p>
      <w:r>
        <w:t>• Remaining Life: (10.2 - 8.4) / 0.12 = 15.0 Years | Next Inspection Due: 7.5 Years (API 510 Half-Life)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