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ONGC / MRPL AUDIT COMMITTEE OF BOARD</w:t>
      </w:r>
    </w:p>
    <w:p>
      <w:pPr>
        <w:jc w:val="center"/>
      </w:pPr>
      <w:r>
        <w:rPr>
          <w:b/>
        </w:rPr>
        <w:t>INTERNAL AUDIT CHARTER (IIA GLOBAL STANDARDS &amp; CVC)</w:t>
      </w:r>
    </w:p>
    <w:p>
      <w:pPr>
        <w:pStyle w:val="Heading1"/>
      </w:pPr>
      <w:r>
        <w:t>1. Purpose, Authority &amp; Dual Reporting</w:t>
      </w:r>
    </w:p>
    <w:p>
      <w:r>
        <w:t>The Chief Internal Auditor reports functionally to the Audit Committee of the Board (ACB) and administratively to the Managing Director.</w:t>
      </w:r>
    </w:p>
    <w:p>
      <w:r>
        <w:t>Internal Audit has unrestricted access to all company systems, personnel, and physical refinery assets.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