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ONGC — MATERIALS MANAGEMENT DIVISION</w:t>
      </w:r>
    </w:p>
    <w:p>
      <w:pPr>
        <w:jc w:val="center"/>
      </w:pPr>
      <w:r>
        <w:rPr>
          <w:b/>
        </w:rPr>
        <w:t>PURCHASE INDENT &amp; TENDER MEMORANDUM (ONGC IMMM MANUAL)</w:t>
      </w:r>
    </w:p>
    <w:p>
      <w:pPr>
        <w:pStyle w:val="Heading1"/>
      </w:pPr>
      <w:r>
        <w:t>1. Indent &amp; Requirement Justification</w:t>
      </w:r>
    </w:p>
    <w:p>
      <w:r>
        <w:t>Indent Ref: ONGC/MM/IND/2026/0411 | Estimated Value: ₹1.45 Crores</w:t>
      </w:r>
    </w:p>
    <w:p>
      <w:r>
        <w:t>Item Description: API 610 Centrifugal Pump Spares &amp; High-Pressure Mechanical Seal Cartridges.</w:t>
      </w:r>
    </w:p>
    <w:p>
      <w:r>
        <w:t>Procurement Mode: Open Tender via Government e-Marketplace (GeM) with Make in India Preference.</w:t>
      </w:r>
    </w:p>
    <w:p>
      <w:pPr>
        <w:pStyle w:val="Heading1"/>
      </w:pPr>
      <w:r>
        <w:t>2. Mandatory CVC &amp; Statutory Tender Undertakings</w:t>
      </w:r>
    </w:p>
    <w:p>
      <w:r>
        <w:t>[X] Integrity Pact applicable (Value &gt; ₹1.00 Crore).</w:t>
      </w:r>
    </w:p>
    <w:p>
      <w:r>
        <w:t>[X] Rule 144(xi) GFR Land Border Sharing declaration required.</w:t>
      </w:r>
    </w:p>
    <w:p>
      <w:r>
        <w:t>[X] Minimum 50% Local Content for Class-I Local Supplier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