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ONGC / MRPL ENTERPRISE TENDER AGREEMENT</w:t>
      </w:r>
    </w:p>
    <w:p>
      <w:pPr>
        <w:jc w:val="center"/>
      </w:pPr>
      <w:r>
        <w:rPr>
          <w:b/>
        </w:rPr>
        <w:t>INTEGRITY PACT — CVC MANDATED MODEL (OFFICE ORDER 41/12/07)</w:t>
      </w:r>
    </w:p>
    <w:p>
      <w:pPr>
        <w:pStyle w:val="Heading1"/>
      </w:pPr>
      <w:r>
        <w:t>1. Commitments of the Principal &amp; the Bidder</w:t>
      </w:r>
    </w:p>
    <w:p>
      <w:r>
        <w:t>1. The Principal commits to take all measures necessary to prevent corruption and ensure transparency.</w:t>
      </w:r>
    </w:p>
    <w:p>
      <w:r>
        <w:t>2. The Bidder commits not to offer or give any bribe, gift, or advantage in exchange for tender award.</w:t>
      </w:r>
    </w:p>
    <w:p>
      <w:r>
        <w:t>3. Independent External Monitors (IEMs) nominated by CVC shall oversee compliance and address grievances.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