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/ MRPL FINANCE &amp; ACCOUNTS DIVISION</w:t>
      </w:r>
    </w:p>
    <w:p>
      <w:pPr>
        <w:jc w:val="center"/>
      </w:pPr>
      <w:r>
        <w:rPr>
          <w:b/>
        </w:rPr>
        <w:t>RUNNING ACCOUNT (RA) BILL CERTIFICATION MEMORANDUM</w:t>
      </w:r>
    </w:p>
    <w:p>
      <w:pPr>
        <w:pStyle w:val="Heading1"/>
      </w:pPr>
      <w:r>
        <w:t>1. Bill Abstract &amp; Contract Details</w:t>
      </w:r>
    </w:p>
    <w:p>
      <w:r>
        <w:t>Contract Work Order No: MRPL/WO/CIVIL/2025/1102 | RA Bill No: 04 (Running)</w:t>
      </w:r>
    </w:p>
    <w:p>
      <w:r>
        <w:t>Contractor: M/s Coastal Infrastructure Builders Pvt. Ltd.</w:t>
      </w:r>
    </w:p>
    <w:p>
      <w:r>
        <w:t>Gross Value of Work Done: ₹84,50,000.00 | Net Payable this Bill: ₹72,67,000.00</w:t>
      </w:r>
    </w:p>
    <w:p>
      <w:pPr>
        <w:pStyle w:val="Heading1"/>
      </w:pPr>
      <w:r>
        <w:t>2. Mandatory Statutory &amp; Contractual Deductions</w:t>
      </w:r>
    </w:p>
    <w:p>
      <w:r>
        <w:t>• Retention Money (5.0% capped): ₹4,22,500.00 (Held in Defect Liability Escrow).</w:t>
      </w:r>
    </w:p>
    <w:p>
      <w:r>
        <w:t>• Income Tax TDS @ Sec 194C (2.0%): ₹1,69,000.00.</w:t>
      </w:r>
    </w:p>
    <w:p>
      <w:r>
        <w:t>• GST TDS @ Sec 51 (2.0%): ₹1,69,000.00.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