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MANGALORE REFINERY AND PETROCHEMICALS LIMITED</w:t>
      </w:r>
    </w:p>
    <w:p>
      <w:pPr>
        <w:jc w:val="center"/>
      </w:pPr>
      <w:r>
        <w:rPr>
          <w:b/>
        </w:rPr>
        <w:t>STATUTORY CAG AUDIT OBSERVATION RESPONSE NOTE</w:t>
      </w:r>
    </w:p>
    <w:p>
      <w:pPr>
        <w:pStyle w:val="Heading1"/>
      </w:pPr>
      <w:r>
        <w:t>1. CAG Audit Observation (Para 14.2)</w:t>
      </w:r>
    </w:p>
    <w:p>
      <w:r>
        <w:t>Observation: Installation and calibration intervals of corrosion monitoring facilities (ER probes &amp; UT sensors).</w:t>
      </w:r>
    </w:p>
    <w:p>
      <w:r>
        <w:t>Company Response: 100% of designated corrosion probes calibrated and integrated into real-time DCS telemetry per OISD-156.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