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ONGC / MRPL VIGILANCE DIVISION</w:t>
      </w:r>
    </w:p>
    <w:p>
      <w:pPr>
        <w:jc w:val="center"/>
      </w:pPr>
      <w:r>
        <w:rPr>
          <w:b/>
        </w:rPr>
        <w:t>CONFIDENTIAL WHISTLE BLOWER COMPLAINT RECORD (PIDPI / CVC)</w:t>
      </w:r>
    </w:p>
    <w:p>
      <w:pPr>
        <w:pStyle w:val="Heading1"/>
      </w:pPr>
      <w:r>
        <w:t>1. Confidential Receipt Metadata</w:t>
      </w:r>
    </w:p>
    <w:p>
      <w:r>
        <w:t>Registration Code: VIG/WB/2026/014 (Masked under PIDPI Identity Protection)</w:t>
      </w:r>
    </w:p>
    <w:p>
      <w:r>
        <w:t>Subject: Allegation regarding tender qualification in materials procurement.</w:t>
      </w:r>
    </w:p>
    <w:p>
      <w:r>
        <w:t>Action Taken: Forwarded to Independent External Monitor (IEM) and Preliminary Enquiry (PE)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