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Times New Roman" w:cs="Times New Roman" w:eastAsia="Times New Roman" w:hAnsi="Times New Roman"/>
          <w:b/>
          <w:bCs/>
          <w:color w:val="000000"/>
          <w:sz w:val="32"/>
          <w:szCs w:val="32"/>
        </w:rPr>
        <w:t xml:space="preserve">Auditing AI-Based ESG Scores:</w:t>
      </w:r>
    </w:p>
    <w:p>
      <w:pPr>
        <w:spacing w:after="120" w:before="0"/>
        <w:jc w:val="center"/>
      </w:pPr>
      <w:r>
        <w:rPr>
          <w:rFonts w:ascii="Times New Roman" w:cs="Times New Roman" w:eastAsia="Times New Roman" w:hAnsi="Times New Roman"/>
          <w:b/>
          <w:bCs/>
          <w:color w:val="000000"/>
          <w:sz w:val="28"/>
          <w:szCs w:val="28"/>
        </w:rPr>
        <w:t xml:space="preserve">How Much Can You Trust a Machine-Generated Sustainability Score?</w:t>
      </w:r>
    </w:p>
    <w:p>
      <w:pPr>
        <w:spacing w:after="60"/>
        <w:jc w:val="center"/>
      </w:pPr>
      <w:r>
        <w:rPr>
          <w:rFonts w:ascii="Times New Roman" w:cs="Times New Roman" w:eastAsia="Times New Roman" w:hAnsi="Times New Roman"/>
          <w:color w:val="000000"/>
          <w:sz w:val="22"/>
          <w:szCs w:val="22"/>
        </w:rPr>
        <w:t xml:space="preserve">Deepak [Last Name]</w:t>
      </w:r>
    </w:p>
    <w:p>
      <w:pPr>
        <w:spacing w:after="60"/>
        <w:jc w:val="center"/>
      </w:pPr>
      <w:r>
        <w:rPr>
          <w:rFonts w:ascii="Times New Roman" w:cs="Times New Roman" w:eastAsia="Times New Roman" w:hAnsi="Times New Roman"/>
          <w:color w:val="000000"/>
          <w:sz w:val="22"/>
          <w:szCs w:val="22"/>
        </w:rPr>
        <w:t xml:space="preserve">[Department], University of Europe for Applied Sciences</w:t>
      </w:r>
    </w:p>
    <w:p>
      <w:pPr>
        <w:spacing w:after="60"/>
        <w:jc w:val="center"/>
      </w:pPr>
      <w:r>
        <w:rPr>
          <w:rFonts w:ascii="Times New Roman" w:cs="Times New Roman" w:eastAsia="Times New Roman" w:hAnsi="Times New Roman"/>
          <w:color w:val="000000"/>
          <w:sz w:val="22"/>
          <w:szCs w:val="22"/>
        </w:rPr>
        <w:t xml:space="preserve">Think Campus, 14469 Potsdam, Germany</w:t>
      </w:r>
    </w:p>
    <w:p>
      <w:pPr>
        <w:spacing w:after="240"/>
        <w:jc w:val="center"/>
      </w:pPr>
      <w:r>
        <w:rPr>
          <w:rFonts w:ascii="Times New Roman" w:cs="Times New Roman" w:eastAsia="Times New Roman" w:hAnsi="Times New Roman"/>
          <w:color w:val="000000"/>
          <w:sz w:val="22"/>
          <w:szCs w:val="22"/>
        </w:rPr>
        <w:t xml:space="preserve">[author@email]</w:t>
      </w:r>
    </w:p>
    <w:p>
      <w:pPr>
        <w:pBdr>
          <w:bottom w:val="single" w:color="000000" w:sz="6" w:space="4"/>
        </w:pBdr>
        <w:spacing w:after="160"/>
      </w:pPr>
    </w:p>
    <w:p>
      <w:pPr>
        <w:spacing w:after="120" w:before="0"/>
        <w:jc w:val="both"/>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Environmental, Social, and Governance (ESG) ratings increasingly steer institutional capital allocation, yet the AI systems producing them remain largely unexamined. This paper reports five empirical audit checks applied to two public datasets: 503 S&amp;P 500 firm-level ESG risk scores and approximately 2,600 labelled sustainability-report sentences. We find that (RQ1) a single rater's four sub-scores rank the same firms near-independently (average Spearman ρ = 0.12), that (RQ2) a greenwashing text injection attack drops classifier F1 from 0.72 to 0.53—a 27% fall with no model modification, that (RQ3) an open surrogate reproduces a vendor's risk levels at 88% accuracy from public sub-scores alone—enough to enable a zero-knowledge audit without weight disclosure, that (RQ4) Energy and Utilities firms almost never receive a low-risk classification (disparate-impact ratio ≈ 0.05, well below the 0.8 threshold) while firm size carries no independent unfairness, and that (RQ5) a model trained on all sectors fails completely on Financial Services or Real Estate held-out firms, collapsing to zero F1. Together the results show that machine-generated ESG scores are routinely fragile in ways that standard evaluation practice does not detect.</w:t>
      </w:r>
    </w:p>
    <w:p>
      <w:pPr>
        <w:spacing w:after="80"/>
      </w:pPr>
      <w:r>
        <w:rPr>
          <w:rFonts w:ascii="Times New Roman" w:cs="Times New Roman" w:eastAsia="Times New Roman" w:hAnsi="Times New Roman"/>
          <w:b/>
          <w:bCs/>
          <w:sz w:val="22"/>
          <w:szCs w:val="22"/>
        </w:rPr>
        <w:t xml:space="preserve">Index Terms—</w:t>
      </w:r>
      <w:r>
        <w:rPr>
          <w:rFonts w:ascii="Times New Roman" w:cs="Times New Roman" w:eastAsia="Times New Roman" w:hAnsi="Times New Roman"/>
          <w:sz w:val="22"/>
          <w:szCs w:val="22"/>
        </w:rPr>
        <w:t xml:space="preserve">ESG auditing, adversarial robustness, greenwashing, zero-knowledge proofs, algorithmic fairness, concept drift, EU AI Act.</w:t>
      </w:r>
    </w:p>
    <w:p>
      <w:pPr>
        <w:pBdr>
          <w:bottom w:val="single" w:color="000000" w:sz="6" w:space="4"/>
        </w:pBdr>
        <w:spacing w:after="160"/>
      </w:pPr>
    </w:p>
    <w:p>
      <w:pPr>
        <w:spacing w:after="120" w:before="240"/>
        <w:jc w:val="center"/>
      </w:pPr>
      <w:r>
        <w:rPr>
          <w:rFonts w:ascii="Times New Roman" w:cs="Times New Roman" w:eastAsia="Times New Roman" w:hAnsi="Times New Roman"/>
          <w:b/>
          <w:bCs/>
          <w:color w:val="000000"/>
          <w:sz w:val="24"/>
          <w:szCs w:val="24"/>
        </w:rPr>
        <w:t xml:space="preserve">I. INTRODUCTION</w:t>
      </w:r>
    </w:p>
    <w:p>
      <w:pPr>
        <w:spacing w:after="120" w:before="0" w:line="276"/>
        <w:jc w:val="both"/>
      </w:pPr>
      <w:r>
        <w:rPr>
          <w:rFonts w:ascii="Times New Roman" w:cs="Times New Roman" w:eastAsia="Times New Roman" w:hAnsi="Times New Roman"/>
          <w:b w:val="false"/>
          <w:bCs w:val="false"/>
          <w:color w:val="000000"/>
          <w:sz w:val="22"/>
          <w:szCs w:val="22"/>
        </w:rPr>
        <w:t xml:space="preserve">AI systems now produce ESG scores that govern pension-fund index weightings, green-bond eligibility, and lending decisions. The trouble is what sits underneath. Providers rank the same firm very differently, text classifiers can be manipulated with the right buzzwords, and almost none of the scoring infrastructure is open to inspection.</w:t>
      </w:r>
    </w:p>
    <w:p>
      <w:pPr>
        <w:spacing w:after="120" w:before="0" w:line="276"/>
        <w:jc w:val="both"/>
      </w:pPr>
      <w:r>
        <w:rPr>
          <w:rFonts w:ascii="Times New Roman" w:cs="Times New Roman" w:eastAsia="Times New Roman" w:hAnsi="Times New Roman"/>
          <w:b w:val="false"/>
          <w:bCs w:val="false"/>
          <w:color w:val="000000"/>
          <w:sz w:val="22"/>
          <w:szCs w:val="22"/>
        </w:rPr>
        <w:t xml:space="preserve">This paper puts AI-based ESG scoring through five separate stress tests—one per research question—using two datasets that any researcher can download and code that is publicly reproducible. We do not assume access to proprietary rating systems. Instead, we work from public firm-level sub-scores and public sustainability-report text to ask whether the visible outputs of these systems hold up under scrutiny.</w:t>
      </w:r>
    </w:p>
    <w:p>
      <w:pPr>
        <w:spacing w:after="120" w:before="0" w:line="276"/>
        <w:jc w:val="both"/>
      </w:pPr>
      <w:r>
        <w:rPr>
          <w:rFonts w:ascii="Times New Roman" w:cs="Times New Roman" w:eastAsia="Times New Roman" w:hAnsi="Times New Roman"/>
          <w:b w:val="false"/>
          <w:bCs w:val="false"/>
          <w:color w:val="000000"/>
          <w:sz w:val="22"/>
          <w:szCs w:val="22"/>
        </w:rPr>
        <w:t xml:space="preserve">The five research questions are:</w:t>
      </w:r>
    </w:p>
    <w:p>
      <w:pPr>
        <w:pStyle w:val="ListParagraph"/>
        <w:numPr>
          <w:ilvl w:val="0"/>
          <w:numId w:val="2"/>
        </w:numPr>
        <w:spacing w:after="60"/>
        <w:jc w:val="both"/>
      </w:pPr>
      <w:r>
        <w:rPr>
          <w:rFonts w:ascii="Times New Roman" w:cs="Times New Roman" w:eastAsia="Times New Roman" w:hAnsi="Times New Roman"/>
          <w:color w:val="000000"/>
          <w:sz w:val="22"/>
          <w:szCs w:val="22"/>
        </w:rPr>
        <w:t xml:space="preserve">RQ1: Do a rater's own sub-scores agree on which firm is better?</w:t>
      </w:r>
    </w:p>
    <w:p>
      <w:pPr>
        <w:pStyle w:val="ListParagraph"/>
        <w:numPr>
          <w:ilvl w:val="0"/>
          <w:numId w:val="2"/>
        </w:numPr>
        <w:spacing w:after="60"/>
        <w:jc w:val="both"/>
      </w:pPr>
      <w:r>
        <w:rPr>
          <w:rFonts w:ascii="Times New Roman" w:cs="Times New Roman" w:eastAsia="Times New Roman" w:hAnsi="Times New Roman"/>
          <w:color w:val="000000"/>
          <w:sz w:val="22"/>
          <w:szCs w:val="22"/>
        </w:rPr>
        <w:t xml:space="preserve">RQ2: Can adversarial or greenwashing text fool an ESG text classifier?</w:t>
      </w:r>
    </w:p>
    <w:p>
      <w:pPr>
        <w:pStyle w:val="ListParagraph"/>
        <w:numPr>
          <w:ilvl w:val="0"/>
          <w:numId w:val="2"/>
        </w:numPr>
        <w:spacing w:after="60"/>
        <w:jc w:val="both"/>
      </w:pPr>
      <w:r>
        <w:rPr>
          <w:rFonts w:ascii="Times New Roman" w:cs="Times New Roman" w:eastAsia="Times New Roman" w:hAnsi="Times New Roman"/>
          <w:color w:val="000000"/>
          <w:sz w:val="22"/>
          <w:szCs w:val="22"/>
        </w:rPr>
        <w:t xml:space="preserve">RQ3: Can a closed model be audited without handing over its weights?</w:t>
      </w:r>
    </w:p>
    <w:p>
      <w:pPr>
        <w:pStyle w:val="ListParagraph"/>
        <w:numPr>
          <w:ilvl w:val="0"/>
          <w:numId w:val="2"/>
        </w:numPr>
        <w:spacing w:after="60"/>
        <w:jc w:val="both"/>
      </w:pPr>
      <w:r>
        <w:rPr>
          <w:rFonts w:ascii="Times New Roman" w:cs="Times New Roman" w:eastAsia="Times New Roman" w:hAnsi="Times New Roman"/>
          <w:color w:val="000000"/>
          <w:sz w:val="22"/>
          <w:szCs w:val="22"/>
        </w:rPr>
        <w:t xml:space="preserve">RQ4: Do ESG scores quietly penalise some sectors or firm sizes?</w:t>
      </w:r>
    </w:p>
    <w:p>
      <w:pPr>
        <w:pStyle w:val="ListParagraph"/>
        <w:numPr>
          <w:ilvl w:val="0"/>
          <w:numId w:val="2"/>
        </w:numPr>
        <w:spacing w:after="60"/>
        <w:jc w:val="both"/>
      </w:pPr>
      <w:r>
        <w:rPr>
          <w:rFonts w:ascii="Times New Roman" w:cs="Times New Roman" w:eastAsia="Times New Roman" w:hAnsi="Times New Roman"/>
          <w:color w:val="000000"/>
          <w:sz w:val="22"/>
          <w:szCs w:val="22"/>
        </w:rPr>
        <w:t xml:space="preserve">RQ5: Does a model still work when the kind of firm it sees changes?</w:t>
      </w:r>
    </w:p>
    <w:p>
      <w:pPr>
        <w:spacing w:after="120" w:before="0" w:line="276"/>
        <w:jc w:val="both"/>
      </w:pPr>
      <w:r>
        <w:rPr>
          <w:rFonts w:ascii="Times New Roman" w:cs="Times New Roman" w:eastAsia="Times New Roman" w:hAnsi="Times New Roman"/>
          <w:b w:val="false"/>
          <w:bCs w:val="false"/>
          <w:color w:val="000000"/>
          <w:sz w:val="22"/>
          <w:szCs w:val="22"/>
        </w:rPr>
        <w:t xml:space="preserve">The remainder of this paper is structured as follows. Section II reviews prior work. Section III describes datasets and methods. Sections IV through VIII present results per RQ. Section IX discusses implications and limitations. Section X concludes.</w:t>
      </w:r>
    </w:p>
    <w:p>
      <w:pPr>
        <w:spacing w:after="120" w:before="240"/>
        <w:jc w:val="center"/>
      </w:pPr>
      <w:r>
        <w:rPr>
          <w:rFonts w:ascii="Times New Roman" w:cs="Times New Roman" w:eastAsia="Times New Roman" w:hAnsi="Times New Roman"/>
          <w:b/>
          <w:bCs/>
          <w:color w:val="000000"/>
          <w:sz w:val="24"/>
          <w:szCs w:val="24"/>
        </w:rPr>
        <w:t xml:space="preserve">II. RELATED WORK</w:t>
      </w:r>
    </w:p>
    <w:p>
      <w:pPr>
        <w:spacing w:after="80" w:before="160"/>
        <w:jc w:val="left"/>
      </w:pPr>
      <w:r>
        <w:rPr>
          <w:rFonts w:ascii="Times New Roman" w:cs="Times New Roman" w:eastAsia="Times New Roman" w:hAnsi="Times New Roman"/>
          <w:b/>
          <w:bCs/>
          <w:color w:val="000000"/>
          <w:sz w:val="22"/>
          <w:szCs w:val="22"/>
        </w:rPr>
        <w:t xml:space="preserve">A. </w:t>
      </w:r>
      <w:r>
        <w:rPr>
          <w:rFonts w:ascii="Times New Roman" w:cs="Times New Roman" w:eastAsia="Times New Roman" w:hAnsi="Times New Roman"/>
          <w:b w:val="false"/>
          <w:bCs w:val="false"/>
          <w:color w:val="000000"/>
          <w:sz w:val="22"/>
          <w:szCs w:val="22"/>
        </w:rPr>
        <w:t xml:space="preserve">ESG Rating Divergence</w:t>
      </w:r>
    </w:p>
    <w:p>
      <w:pPr>
        <w:spacing w:after="120" w:before="0" w:line="276"/>
        <w:jc w:val="both"/>
      </w:pPr>
      <w:r>
        <w:rPr>
          <w:rFonts w:ascii="Times New Roman" w:cs="Times New Roman" w:eastAsia="Times New Roman" w:hAnsi="Times New Roman"/>
          <w:b w:val="false"/>
          <w:bCs w:val="false"/>
          <w:color w:val="000000"/>
          <w:sz w:val="22"/>
          <w:szCs w:val="22"/>
        </w:rPr>
        <w:t xml:space="preserve">Berg, Kölbel, and Rigobon [1] decomposed ESG rating disagreement across six providers into scope, weight, and measurement differences, finding that pairwise Spearman correlations between raters range from 0.38 to 0.71. Their work motivates RQ1, which examines internal divergence within a single rater rather than across raters, a distinction that has received less empirical attention.</w:t>
      </w:r>
    </w:p>
    <w:p>
      <w:pPr>
        <w:spacing w:after="80" w:before="160"/>
        <w:jc w:val="left"/>
      </w:pPr>
      <w:r>
        <w:rPr>
          <w:rFonts w:ascii="Times New Roman" w:cs="Times New Roman" w:eastAsia="Times New Roman" w:hAnsi="Times New Roman"/>
          <w:b/>
          <w:bCs/>
          <w:color w:val="000000"/>
          <w:sz w:val="22"/>
          <w:szCs w:val="22"/>
        </w:rPr>
        <w:t xml:space="preserve">B. </w:t>
      </w:r>
      <w:r>
        <w:rPr>
          <w:rFonts w:ascii="Times New Roman" w:cs="Times New Roman" w:eastAsia="Times New Roman" w:hAnsi="Times New Roman"/>
          <w:b w:val="false"/>
          <w:bCs w:val="false"/>
          <w:color w:val="000000"/>
          <w:sz w:val="22"/>
          <w:szCs w:val="22"/>
        </w:rPr>
        <w:t xml:space="preserve">Adversarial NLP and Greenwashing</w:t>
      </w:r>
    </w:p>
    <w:p>
      <w:pPr>
        <w:spacing w:after="120" w:before="0" w:line="276"/>
        <w:jc w:val="both"/>
      </w:pPr>
      <w:r>
        <w:rPr>
          <w:rFonts w:ascii="Times New Roman" w:cs="Times New Roman" w:eastAsia="Times New Roman" w:hAnsi="Times New Roman"/>
          <w:b w:val="false"/>
          <w:bCs w:val="false"/>
          <w:color w:val="000000"/>
          <w:sz w:val="22"/>
          <w:szCs w:val="22"/>
        </w:rPr>
        <w:t xml:space="preserve">Morris et al. [2] introduced TextAttack, a framework for word-substitution attacks on NLP classifiers. In the ESG context, greenwashing—the practice of making misleading sustainability claims—represents a semantically targeted attack. The A3CG benchmark [3] provides labelled sentence pairs directly targeting greenwashing detection, which we use for RQ2.</w:t>
      </w:r>
    </w:p>
    <w:p>
      <w:pPr>
        <w:spacing w:after="80" w:before="160"/>
        <w:jc w:val="left"/>
      </w:pPr>
      <w:r>
        <w:rPr>
          <w:rFonts w:ascii="Times New Roman" w:cs="Times New Roman" w:eastAsia="Times New Roman" w:hAnsi="Times New Roman"/>
          <w:b/>
          <w:bCs/>
          <w:color w:val="000000"/>
          <w:sz w:val="22"/>
          <w:szCs w:val="22"/>
        </w:rPr>
        <w:t xml:space="preserve">C. </w:t>
      </w:r>
      <w:r>
        <w:rPr>
          <w:rFonts w:ascii="Times New Roman" w:cs="Times New Roman" w:eastAsia="Times New Roman" w:hAnsi="Times New Roman"/>
          <w:b w:val="false"/>
          <w:bCs w:val="false"/>
          <w:color w:val="000000"/>
          <w:sz w:val="22"/>
          <w:szCs w:val="22"/>
        </w:rPr>
        <w:t xml:space="preserve">Zero-Knowledge Model Auditing</w:t>
      </w:r>
    </w:p>
    <w:p>
      <w:pPr>
        <w:spacing w:after="120" w:before="0" w:line="276"/>
        <w:jc w:val="both"/>
      </w:pPr>
      <w:r>
        <w:rPr>
          <w:rFonts w:ascii="Times New Roman" w:cs="Times New Roman" w:eastAsia="Times New Roman" w:hAnsi="Times New Roman"/>
          <w:b w:val="false"/>
          <w:bCs w:val="false"/>
          <w:color w:val="000000"/>
          <w:sz w:val="22"/>
          <w:szCs w:val="22"/>
        </w:rPr>
        <w:t xml:space="preserve">Kang et al. [4] demonstrated that zero-knowledge proofs (ZKPs) can verify neural network inference without revealing weights, under the term zkML. Liu et al. [5] applied this to financial model compliance under the EU AI Act. Our RQ3 takes a prior step: showing that a surrogate model can reconstruct proprietary scores from public sub-scores with sufficient fidelity to enable such proofs.</w:t>
      </w:r>
    </w:p>
    <w:p>
      <w:pPr>
        <w:spacing w:after="80" w:before="160"/>
        <w:jc w:val="left"/>
      </w:pPr>
      <w:r>
        <w:rPr>
          <w:rFonts w:ascii="Times New Roman" w:cs="Times New Roman" w:eastAsia="Times New Roman" w:hAnsi="Times New Roman"/>
          <w:b/>
          <w:bCs/>
          <w:color w:val="000000"/>
          <w:sz w:val="22"/>
          <w:szCs w:val="22"/>
        </w:rPr>
        <w:t xml:space="preserve">D. </w:t>
      </w:r>
      <w:r>
        <w:rPr>
          <w:rFonts w:ascii="Times New Roman" w:cs="Times New Roman" w:eastAsia="Times New Roman" w:hAnsi="Times New Roman"/>
          <w:b w:val="false"/>
          <w:bCs w:val="false"/>
          <w:color w:val="000000"/>
          <w:sz w:val="22"/>
          <w:szCs w:val="22"/>
        </w:rPr>
        <w:t xml:space="preserve">Algorithmic Fairness in Finance</w:t>
      </w:r>
    </w:p>
    <w:p>
      <w:pPr>
        <w:spacing w:after="120" w:before="0" w:line="276"/>
        <w:jc w:val="both"/>
      </w:pPr>
      <w:r>
        <w:rPr>
          <w:rFonts w:ascii="Times New Roman" w:cs="Times New Roman" w:eastAsia="Times New Roman" w:hAnsi="Times New Roman"/>
          <w:b w:val="false"/>
          <w:bCs w:val="false"/>
          <w:color w:val="000000"/>
          <w:sz w:val="22"/>
          <w:szCs w:val="22"/>
        </w:rPr>
        <w:t xml:space="preserve">Feldman et al. [6] formalised disparate impact using the 4/5ths rule. Kotsantonis and Serafeim [7] documented ESG data availability gaps across markets. RQ4 applies the 4/5ths test to sector and firm-size groups within a single ESG risk dataset.</w:t>
      </w:r>
    </w:p>
    <w:p>
      <w:pPr>
        <w:spacing w:after="80" w:before="160"/>
        <w:jc w:val="left"/>
      </w:pPr>
      <w:r>
        <w:rPr>
          <w:rFonts w:ascii="Times New Roman" w:cs="Times New Roman" w:eastAsia="Times New Roman" w:hAnsi="Times New Roman"/>
          <w:b/>
          <w:bCs/>
          <w:color w:val="000000"/>
          <w:sz w:val="22"/>
          <w:szCs w:val="22"/>
        </w:rPr>
        <w:t xml:space="preserve">E. </w:t>
      </w:r>
      <w:r>
        <w:rPr>
          <w:rFonts w:ascii="Times New Roman" w:cs="Times New Roman" w:eastAsia="Times New Roman" w:hAnsi="Times New Roman"/>
          <w:b w:val="false"/>
          <w:bCs w:val="false"/>
          <w:color w:val="000000"/>
          <w:sz w:val="22"/>
          <w:szCs w:val="22"/>
        </w:rPr>
        <w:t xml:space="preserve">Distribution Shift in NLP Pipelines</w:t>
      </w:r>
    </w:p>
    <w:p>
      <w:pPr>
        <w:spacing w:after="120" w:before="0" w:line="276"/>
        <w:jc w:val="both"/>
      </w:pPr>
      <w:r>
        <w:rPr>
          <w:rFonts w:ascii="Times New Roman" w:cs="Times New Roman" w:eastAsia="Times New Roman" w:hAnsi="Times New Roman"/>
          <w:b w:val="false"/>
          <w:bCs w:val="false"/>
          <w:color w:val="000000"/>
          <w:sz w:val="22"/>
          <w:szCs w:val="22"/>
        </w:rPr>
        <w:t xml:space="preserve">Gama et al. [8] survey concept drift adaptation strategies. In ESG, reporting norms, regulatory vocabulary, and firm compositions shift across sectors and time, making distribution-shift testing (RQ5) operationally important for deployed classifiers.</w:t>
      </w:r>
    </w:p>
    <w:p>
      <w:pPr>
        <w:spacing w:after="120" w:before="240"/>
        <w:jc w:val="center"/>
      </w:pPr>
      <w:r>
        <w:rPr>
          <w:rFonts w:ascii="Times New Roman" w:cs="Times New Roman" w:eastAsia="Times New Roman" w:hAnsi="Times New Roman"/>
          <w:b/>
          <w:bCs/>
          <w:color w:val="000000"/>
          <w:sz w:val="24"/>
          <w:szCs w:val="24"/>
        </w:rPr>
        <w:t xml:space="preserve">III. DATASETS AND METHODOLOGY</w:t>
      </w:r>
    </w:p>
    <w:p>
      <w:pPr>
        <w:spacing w:after="80" w:before="160"/>
        <w:jc w:val="left"/>
      </w:pPr>
      <w:r>
        <w:rPr>
          <w:rFonts w:ascii="Times New Roman" w:cs="Times New Roman" w:eastAsia="Times New Roman" w:hAnsi="Times New Roman"/>
          <w:b/>
          <w:bCs/>
          <w:color w:val="000000"/>
          <w:sz w:val="22"/>
          <w:szCs w:val="22"/>
        </w:rPr>
        <w:t xml:space="preserve">A. </w:t>
      </w:r>
      <w:r>
        <w:rPr>
          <w:rFonts w:ascii="Times New Roman" w:cs="Times New Roman" w:eastAsia="Times New Roman" w:hAnsi="Times New Roman"/>
          <w:b w:val="false"/>
          <w:bCs w:val="false"/>
          <w:color w:val="000000"/>
          <w:sz w:val="22"/>
          <w:szCs w:val="22"/>
        </w:rPr>
        <w:t xml:space="preserve">Datasets</w:t>
      </w:r>
    </w:p>
    <w:p>
      <w:pPr>
        <w:spacing w:after="120" w:before="0" w:line="276"/>
        <w:jc w:val="both"/>
      </w:pPr>
      <w:r>
        <w:rPr>
          <w:rFonts w:ascii="Times New Roman" w:cs="Times New Roman" w:eastAsia="Times New Roman" w:hAnsi="Times New Roman"/>
          <w:b w:val="false"/>
          <w:bCs w:val="false"/>
          <w:color w:val="000000"/>
          <w:sz w:val="22"/>
          <w:szCs w:val="22"/>
        </w:rPr>
        <w:t xml:space="preserve">Two publicly available datasets are used throughout.</w:t>
      </w:r>
    </w:p>
    <w:p>
      <w:pPr>
        <w:spacing w:after="120" w:before="0" w:line="276"/>
        <w:jc w:val="both"/>
      </w:pPr>
      <w:r>
        <w:rPr>
          <w:rFonts w:ascii="Times New Roman" w:cs="Times New Roman" w:eastAsia="Times New Roman" w:hAnsi="Times New Roman"/>
          <w:b w:val="false"/>
          <w:bCs w:val="false"/>
          <w:color w:val="000000"/>
          <w:sz w:val="22"/>
          <w:szCs w:val="22"/>
        </w:rPr>
        <w:t xml:space="preserve">Public Company ESG Ratings (Sustainalytics/Yahoo Finance via Kaggle): 503 S&amp;P 500 firms with Environment Risk Score, Social Risk Score, Governance Risk Score, Controversy Score, Total ESG Risk Score, ESG Risk Level (Low/Medium/High/Severe), Sector, and Full-Time Employees. This dataset is used as the primary source for RQ1, RQ3, RQ4, and RQ5.</w:t>
      </w:r>
    </w:p>
    <w:p>
      <w:pPr>
        <w:spacing w:after="120" w:before="0" w:line="276"/>
        <w:jc w:val="both"/>
      </w:pPr>
      <w:r>
        <w:rPr>
          <w:rFonts w:ascii="Times New Roman" w:cs="Times New Roman" w:eastAsia="Times New Roman" w:hAnsi="Times New Roman"/>
          <w:b w:val="false"/>
          <w:bCs w:val="false"/>
          <w:color w:val="000000"/>
          <w:sz w:val="22"/>
          <w:szCs w:val="22"/>
        </w:rPr>
        <w:t xml:space="preserve">S&amp;P 500 ESG Report Sentences (Kaggle): Approximately 2,600 labelled sentences extracted from corporate sustainability reports (binary label: genuine vs. greenwash). Split into train (2,117), validation (265), and test (265) sets. Used for RQ2.</w:t>
      </w:r>
    </w:p>
    <w:p>
      <w:pPr>
        <w:spacing w:after="80" w:before="160"/>
        <w:jc w:val="left"/>
      </w:pPr>
      <w:r>
        <w:rPr>
          <w:rFonts w:ascii="Times New Roman" w:cs="Times New Roman" w:eastAsia="Times New Roman" w:hAnsi="Times New Roman"/>
          <w:b/>
          <w:bCs/>
          <w:color w:val="000000"/>
          <w:sz w:val="22"/>
          <w:szCs w:val="22"/>
        </w:rPr>
        <w:t xml:space="preserve">B. </w:t>
      </w:r>
      <w:r>
        <w:rPr>
          <w:rFonts w:ascii="Times New Roman" w:cs="Times New Roman" w:eastAsia="Times New Roman" w:hAnsi="Times New Roman"/>
          <w:b w:val="false"/>
          <w:bCs w:val="false"/>
          <w:color w:val="000000"/>
          <w:sz w:val="22"/>
          <w:szCs w:val="22"/>
        </w:rPr>
        <w:t xml:space="preserve">Preprocessing</w:t>
      </w:r>
    </w:p>
    <w:p>
      <w:pPr>
        <w:spacing w:after="120" w:before="0" w:line="276"/>
        <w:jc w:val="both"/>
      </w:pPr>
      <w:r>
        <w:rPr>
          <w:rFonts w:ascii="Times New Roman" w:cs="Times New Roman" w:eastAsia="Times New Roman" w:hAnsi="Times New Roman"/>
          <w:b w:val="false"/>
          <w:bCs w:val="false"/>
          <w:color w:val="000000"/>
          <w:sz w:val="22"/>
          <w:szCs w:val="22"/>
        </w:rPr>
        <w:t xml:space="preserve">Numeric scores were min-max normalised to [0, 1] per column. Text was lowercased and vectorised with TF-IDF (unigrams and bigrams, minimum document frequency = 2). Missing values were dropped list-wise. No data imputation was applied.</w:t>
      </w:r>
    </w:p>
    <w:p>
      <w:pPr>
        <w:spacing w:after="80" w:before="160"/>
        <w:jc w:val="left"/>
      </w:pPr>
      <w:r>
        <w:rPr>
          <w:rFonts w:ascii="Times New Roman" w:cs="Times New Roman" w:eastAsia="Times New Roman" w:hAnsi="Times New Roman"/>
          <w:b/>
          <w:bCs/>
          <w:color w:val="000000"/>
          <w:sz w:val="22"/>
          <w:szCs w:val="22"/>
        </w:rPr>
        <w:t xml:space="preserve">C. </w:t>
      </w:r>
      <w:r>
        <w:rPr>
          <w:rFonts w:ascii="Times New Roman" w:cs="Times New Roman" w:eastAsia="Times New Roman" w:hAnsi="Times New Roman"/>
          <w:b w:val="false"/>
          <w:bCs w:val="false"/>
          <w:color w:val="000000"/>
          <w:sz w:val="22"/>
          <w:szCs w:val="22"/>
        </w:rPr>
        <w:t xml:space="preserve">Per-RQ Pipeline Overview</w:t>
      </w:r>
    </w:p>
    <w:p>
      <w:pPr>
        <w:spacing w:after="120" w:before="0" w:line="276"/>
        <w:jc w:val="both"/>
      </w:pPr>
      <w:r>
        <w:rPr>
          <w:rFonts w:ascii="Times New Roman" w:cs="Times New Roman" w:eastAsia="Times New Roman" w:hAnsi="Times New Roman"/>
          <w:b w:val="false"/>
          <w:bCs w:val="false"/>
          <w:color w:val="000000"/>
          <w:sz w:val="22"/>
          <w:szCs w:val="22"/>
        </w:rPr>
        <w:t xml:space="preserve">Each RQ follows a common structure: dataset selection → feature construction → model or statistic → evaluation metric. Reproducible Jupyter notebooks implementing all five pipelines are publicly available.</w:t>
      </w:r>
    </w:p>
    <w:p>
      <w:pPr>
        <w:spacing w:after="60" w:before="160"/>
        <w:jc w:val="center"/>
      </w:pPr>
      <w:r>
        <w:rPr>
          <w:rFonts w:ascii="Times New Roman" w:cs="Times New Roman" w:eastAsia="Times New Roman" w:hAnsi="Times New Roman"/>
          <w:b/>
          <w:bCs/>
          <w:color w:val="000000"/>
          <w:sz w:val="18"/>
          <w:szCs w:val="18"/>
        </w:rPr>
        <w:t xml:space="preserve">TABLE I</w:t>
      </w:r>
      <w:r>
        <w:rPr>
          <w:rFonts w:ascii="Times New Roman" w:cs="Times New Roman" w:eastAsia="Times New Roman" w:hAnsi="Times New Roman"/>
          <w:b w:val="false"/>
          <w:bCs w:val="false"/>
          <w:color w:val="000000"/>
          <w:sz w:val="18"/>
          <w:szCs w:val="18"/>
        </w:rPr>
        <w:t xml:space="preserve">
Per-RQ Pipeline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2000"/>
        <w:gridCol w:w="2360"/>
      </w:tblGrid>
      <w:tr>
        <w:trPr>
          <w:tblHeader/>
        </w:trPr>
        <w:tc>
          <w:tcPr>
            <w:tcW w:type="dxa" w:w="6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RQ</w:t>
            </w:r>
          </w:p>
        </w:tc>
        <w:tc>
          <w:tcPr>
            <w:tcW w:type="dxa" w:w="22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left"/>
            </w:pPr>
            <w:r>
              <w:rPr>
                <w:rFonts w:ascii="Times New Roman" w:cs="Times New Roman" w:eastAsia="Times New Roman" w:hAnsi="Times New Roman"/>
                <w:b/>
                <w:bCs/>
                <w:color w:val="000000"/>
                <w:sz w:val="18"/>
                <w:szCs w:val="18"/>
              </w:rPr>
              <w:t xml:space="preserve">Question (short)</w:t>
            </w:r>
          </w:p>
        </w:tc>
        <w:tc>
          <w:tcPr>
            <w:tcW w:type="dxa" w:w="22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left"/>
            </w:pPr>
            <w:r>
              <w:rPr>
                <w:rFonts w:ascii="Times New Roman" w:cs="Times New Roman" w:eastAsia="Times New Roman" w:hAnsi="Times New Roman"/>
                <w:b/>
                <w:bCs/>
                <w:color w:val="000000"/>
                <w:sz w:val="18"/>
                <w:szCs w:val="18"/>
              </w:rPr>
              <w:t xml:space="preserve">Dataset</w:t>
            </w:r>
          </w:p>
        </w:tc>
        <w:tc>
          <w:tcPr>
            <w:tcW w:type="dxa" w:w="20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left"/>
            </w:pPr>
            <w:r>
              <w:rPr>
                <w:rFonts w:ascii="Times New Roman" w:cs="Times New Roman" w:eastAsia="Times New Roman" w:hAnsi="Times New Roman"/>
                <w:b/>
                <w:bCs/>
                <w:color w:val="000000"/>
                <w:sz w:val="18"/>
                <w:szCs w:val="18"/>
              </w:rPr>
              <w:t xml:space="preserve">Method</w:t>
            </w:r>
          </w:p>
        </w:tc>
        <w:tc>
          <w:tcPr>
            <w:tcW w:type="dxa" w:w="236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left"/>
            </w:pPr>
            <w:r>
              <w:rPr>
                <w:rFonts w:ascii="Times New Roman" w:cs="Times New Roman" w:eastAsia="Times New Roman" w:hAnsi="Times New Roman"/>
                <w:b/>
                <w:bCs/>
                <w:color w:val="000000"/>
                <w:sz w:val="18"/>
                <w:szCs w:val="18"/>
              </w:rPr>
              <w:t xml:space="preserve">Key Metric</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RQ1</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Internal sub-score agreement</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rq3.csv (503 firms)</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Spearman ρ matrix</w:t>
            </w:r>
          </w:p>
        </w:tc>
        <w:tc>
          <w:tcPr>
            <w:tcW w:type="dxa" w:w="236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Avg. ρ across dimension pairs</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RQ2</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Adversarial text robustness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train/test.csv (~2,600 sentences)</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TF-IDF + LR; TextAttack; greenwash injection</w:t>
            </w:r>
          </w:p>
        </w:tc>
        <w:tc>
          <w:tcPr>
            <w:tcW w:type="dxa" w:w="236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F1-Score, % drop</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RQ3</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Closed-model surrogate audit</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rq3.csv (503 firms)</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Random Forest surrogate + ZK-proof review</w:t>
            </w:r>
          </w:p>
        </w:tc>
        <w:tc>
          <w:tcPr>
            <w:tcW w:type="dxa" w:w="236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Surrogate accuracy; proof-time (lit.)</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RQ4</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Sector and size fairness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rq3.csv (503 firms)</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4/5ths disparate-impact rule</w:t>
            </w:r>
          </w:p>
        </w:tc>
        <w:tc>
          <w:tcPr>
            <w:tcW w:type="dxa" w:w="236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Disparate-impact ratio per group</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RQ5</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Distribution shift robustness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rq3.csv (503 firms)</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Leave-one-sector-out cross-validation</w:t>
            </w:r>
          </w:p>
        </w:tc>
        <w:tc>
          <w:tcPr>
            <w:tcW w:type="dxa" w:w="236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F1 per held-out sector</w:t>
            </w:r>
          </w:p>
        </w:tc>
      </w:tr>
    </w:tbl>
    <w:p>
      <w:pPr>
        <w:spacing w:after="80"/>
      </w:pPr>
      <w:r>
        <w:rPr>
          <w:rFonts w:ascii="Times New Roman" w:cs="Times New Roman" w:eastAsia="Times New Roman" w:hAnsi="Times New Roman"/>
          <w:sz w:val="22"/>
          <w:szCs w:val="22"/>
        </w:rPr>
        <w:t xml:space="preserve"/>
      </w:r>
    </w:p>
    <w:p>
      <w:pPr>
        <w:spacing w:after="120" w:before="240"/>
        <w:jc w:val="center"/>
      </w:pPr>
      <w:r>
        <w:rPr>
          <w:rFonts w:ascii="Times New Roman" w:cs="Times New Roman" w:eastAsia="Times New Roman" w:hAnsi="Times New Roman"/>
          <w:b/>
          <w:bCs/>
          <w:color w:val="000000"/>
          <w:sz w:val="24"/>
          <w:szCs w:val="24"/>
        </w:rPr>
        <w:t xml:space="preserve">IV. RQ1 — SUB-SCORE DISAGREEMENT</w:t>
      </w:r>
    </w:p>
    <w:p>
      <w:pPr>
        <w:spacing w:after="80" w:before="160"/>
        <w:jc w:val="left"/>
      </w:pPr>
      <w:r>
        <w:rPr>
          <w:rFonts w:ascii="Times New Roman" w:cs="Times New Roman" w:eastAsia="Times New Roman" w:hAnsi="Times New Roman"/>
          <w:b/>
          <w:bCs/>
          <w:color w:val="000000"/>
          <w:sz w:val="22"/>
          <w:szCs w:val="22"/>
        </w:rPr>
        <w:t xml:space="preserve">A. </w:t>
      </w:r>
      <w:r>
        <w:rPr>
          <w:rFonts w:ascii="Times New Roman" w:cs="Times New Roman" w:eastAsia="Times New Roman" w:hAnsi="Times New Roman"/>
          <w:b w:val="false"/>
          <w:bCs w:val="false"/>
          <w:color w:val="000000"/>
          <w:sz w:val="22"/>
          <w:szCs w:val="22"/>
        </w:rPr>
        <w:t xml:space="preserve">Method</w:t>
      </w:r>
    </w:p>
    <w:p>
      <w:pPr>
        <w:spacing w:after="120" w:before="0" w:line="276"/>
        <w:jc w:val="both"/>
      </w:pPr>
      <w:r>
        <w:rPr>
          <w:rFonts w:ascii="Times New Roman" w:cs="Times New Roman" w:eastAsia="Times New Roman" w:hAnsi="Times New Roman"/>
          <w:b w:val="false"/>
          <w:bCs w:val="false"/>
          <w:color w:val="000000"/>
          <w:sz w:val="22"/>
          <w:szCs w:val="22"/>
        </w:rPr>
        <w:t xml:space="preserve">We compute the pairwise Spearman rank correlation between all four sub-scores (Environment, Social, Governance, Controversy) across 430 named S&amp;P 500 firms drawn from the Sustainalytics dataset. A low average ρ across off-diagonal pairs indicates that a single Total ESG Risk headline number obscures real internal disagreement.</w:t>
      </w:r>
    </w:p>
    <w:p>
      <w:pPr>
        <w:spacing w:after="80" w:before="160"/>
        <w:jc w:val="left"/>
      </w:pPr>
      <w:r>
        <w:rPr>
          <w:rFonts w:ascii="Times New Roman" w:cs="Times New Roman" w:eastAsia="Times New Roman" w:hAnsi="Times New Roman"/>
          <w:b/>
          <w:bCs/>
          <w:color w:val="000000"/>
          <w:sz w:val="22"/>
          <w:szCs w:val="22"/>
        </w:rPr>
        <w:t xml:space="preserve">B. </w:t>
      </w:r>
      <w:r>
        <w:rPr>
          <w:rFonts w:ascii="Times New Roman" w:cs="Times New Roman" w:eastAsia="Times New Roman" w:hAnsi="Times New Roman"/>
          <w:b w:val="false"/>
          <w:bCs w:val="false"/>
          <w:color w:val="000000"/>
          <w:sz w:val="22"/>
          <w:szCs w:val="22"/>
        </w:rPr>
        <w:t xml:space="preserve">Results</w:t>
      </w:r>
    </w:p>
    <w:p>
      <w:pPr>
        <w:spacing w:after="120" w:before="0" w:line="276"/>
        <w:jc w:val="both"/>
      </w:pPr>
      <w:r>
        <w:rPr>
          <w:rFonts w:ascii="Times New Roman" w:cs="Times New Roman" w:eastAsia="Times New Roman" w:hAnsi="Times New Roman"/>
          <w:b w:val="false"/>
          <w:bCs w:val="false"/>
          <w:color w:val="000000"/>
          <w:sz w:val="22"/>
          <w:szCs w:val="22"/>
        </w:rPr>
        <w:t xml:space="preserve">The four sub-scores rank firms near-independently. The average Spearman ρ across all six off-diagonal pairs is 0.12. The strongest association is Social–Controversy (ρ = 0.37) and the strongest disagreement is Environment–Governance (ρ = −0.28): firms that score well on environmental risk often score poorly on governance risk and vice versa. Figure 1 shows the full correlation heatmap.</w:t>
      </w:r>
    </w:p>
    <w:p>
      <w:pPr>
        <w:spacing w:after="40" w:before="80"/>
        <w:jc w:val="center"/>
      </w:pPr>
      <w:r>
        <w:drawing>
          <wp:inline distT="0" distB="0" distL="0" distR="0">
            <wp:extent cx="59436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486400"/>
                    </a:xfrm>
                    <a:prstGeom prst="rect">
                      <a:avLst/>
                    </a:prstGeom>
                  </pic:spPr>
                </pic:pic>
              </a:graphicData>
            </a:graphic>
          </wp:inline>
        </w:drawing>
      </w:r>
    </w:p>
    <w:p>
      <w:pPr>
        <w:spacing w:after="160" w:before="40"/>
        <w:jc w:val="center"/>
      </w:pPr>
      <w:r>
        <w:rPr>
          <w:rFonts w:ascii="Times New Roman" w:cs="Times New Roman" w:eastAsia="Times New Roman" w:hAnsi="Times New Roman"/>
          <w:b/>
          <w:bCs/>
          <w:color w:val="000000"/>
          <w:sz w:val="18"/>
          <w:szCs w:val="18"/>
        </w:rPr>
        <w:t xml:space="preserve">Fig. 1. </w:t>
      </w:r>
      <w:r>
        <w:rPr>
          <w:rFonts w:ascii="Times New Roman" w:cs="Times New Roman" w:eastAsia="Times New Roman" w:hAnsi="Times New Roman"/>
          <w:b w:val="false"/>
          <w:bCs w:val="false"/>
          <w:color w:val="000000"/>
          <w:sz w:val="18"/>
          <w:szCs w:val="18"/>
        </w:rPr>
        <w:t xml:space="preserve">Cross-dimension ESG agreement across 430 S&amp;P 500 firms. Average off-diagonal Spearman ρ = 0.12. A single headline ESG number hides real internal disagreement among its component scores.</w:t>
      </w:r>
    </w:p>
    <w:p>
      <w:pPr>
        <w:spacing w:after="120" w:before="0" w:line="276"/>
        <w:jc w:val="both"/>
      </w:pPr>
      <w:r>
        <w:rPr>
          <w:rFonts w:ascii="Times New Roman" w:cs="Times New Roman" w:eastAsia="Times New Roman" w:hAnsi="Times New Roman"/>
          <w:b w:val="false"/>
          <w:bCs w:val="false"/>
          <w:color w:val="000000"/>
          <w:sz w:val="22"/>
          <w:szCs w:val="22"/>
        </w:rPr>
        <w:t xml:space="preserve">These results are computed from real Sustainalytics sub-scores; no synthetic data or multi-rater panel is required because the four dimensions constitute a natural within-rater comparison.</w:t>
      </w:r>
    </w:p>
    <w:p>
      <w:pPr>
        <w:spacing w:after="120" w:before="240"/>
        <w:jc w:val="center"/>
      </w:pPr>
      <w:r>
        <w:rPr>
          <w:rFonts w:ascii="Times New Roman" w:cs="Times New Roman" w:eastAsia="Times New Roman" w:hAnsi="Times New Roman"/>
          <w:b/>
          <w:bCs/>
          <w:color w:val="000000"/>
          <w:sz w:val="24"/>
          <w:szCs w:val="24"/>
        </w:rPr>
        <w:t xml:space="preserve">V. RQ2 — ADVERSARIAL ROBUSTNESS</w:t>
      </w:r>
    </w:p>
    <w:p>
      <w:pPr>
        <w:spacing w:after="80" w:before="160"/>
        <w:jc w:val="left"/>
      </w:pPr>
      <w:r>
        <w:rPr>
          <w:rFonts w:ascii="Times New Roman" w:cs="Times New Roman" w:eastAsia="Times New Roman" w:hAnsi="Times New Roman"/>
          <w:b/>
          <w:bCs/>
          <w:color w:val="000000"/>
          <w:sz w:val="22"/>
          <w:szCs w:val="22"/>
        </w:rPr>
        <w:t xml:space="preserve">A. </w:t>
      </w:r>
      <w:r>
        <w:rPr>
          <w:rFonts w:ascii="Times New Roman" w:cs="Times New Roman" w:eastAsia="Times New Roman" w:hAnsi="Times New Roman"/>
          <w:b w:val="false"/>
          <w:bCs w:val="false"/>
          <w:color w:val="000000"/>
          <w:sz w:val="22"/>
          <w:szCs w:val="22"/>
        </w:rPr>
        <w:t xml:space="preserve">Method</w:t>
      </w:r>
    </w:p>
    <w:p>
      <w:pPr>
        <w:spacing w:after="120" w:before="0" w:line="276"/>
        <w:jc w:val="both"/>
      </w:pPr>
      <w:r>
        <w:rPr>
          <w:rFonts w:ascii="Times New Roman" w:cs="Times New Roman" w:eastAsia="Times New Roman" w:hAnsi="Times New Roman"/>
          <w:b w:val="false"/>
          <w:bCs w:val="false"/>
          <w:color w:val="000000"/>
          <w:sz w:val="22"/>
          <w:szCs w:val="22"/>
        </w:rPr>
        <w:t xml:space="preserve">A TF-IDF + Logistic Regression classifier is trained on the 2,117-sentence training split and evaluated on the 265-sentence test split. Three attack conditions are then applied to the test set:</w:t>
      </w:r>
    </w:p>
    <w:p>
      <w:pPr>
        <w:pStyle w:val="ListParagraph"/>
        <w:numPr>
          <w:ilvl w:val="0"/>
          <w:numId w:val="2"/>
        </w:numPr>
        <w:spacing w:after="60"/>
        <w:jc w:val="both"/>
      </w:pPr>
      <w:r>
        <w:rPr>
          <w:rFonts w:ascii="Times New Roman" w:cs="Times New Roman" w:eastAsia="Times New Roman" w:hAnsi="Times New Roman"/>
          <w:color w:val="000000"/>
          <w:sz w:val="22"/>
          <w:szCs w:val="22"/>
        </w:rPr>
        <w:t xml:space="preserve">Synonym-Swap: WordNet-based synonym substitution on non-stopword tokens.</w:t>
      </w:r>
    </w:p>
    <w:p>
      <w:pPr>
        <w:pStyle w:val="ListParagraph"/>
        <w:numPr>
          <w:ilvl w:val="0"/>
          <w:numId w:val="2"/>
        </w:numPr>
        <w:spacing w:after="60"/>
        <w:jc w:val="both"/>
      </w:pPr>
      <w:r>
        <w:rPr>
          <w:rFonts w:ascii="Times New Roman" w:cs="Times New Roman" w:eastAsia="Times New Roman" w:hAnsi="Times New Roman"/>
          <w:color w:val="000000"/>
          <w:sz w:val="22"/>
          <w:szCs w:val="22"/>
        </w:rPr>
        <w:t xml:space="preserve">Char-Typo: Random character deletion, insertion, or transposition on 15% of characters per word.</w:t>
      </w:r>
    </w:p>
    <w:p>
      <w:pPr>
        <w:pStyle w:val="ListParagraph"/>
        <w:numPr>
          <w:ilvl w:val="0"/>
          <w:numId w:val="2"/>
        </w:numPr>
        <w:spacing w:after="60"/>
        <w:jc w:val="both"/>
      </w:pPr>
      <w:r>
        <w:rPr>
          <w:rFonts w:ascii="Times New Roman" w:cs="Times New Roman" w:eastAsia="Times New Roman" w:hAnsi="Times New Roman"/>
          <w:color w:val="000000"/>
          <w:sz w:val="22"/>
          <w:szCs w:val="22"/>
        </w:rPr>
        <w:t xml:space="preserve">Greenwash-Injection: Insertion of high-frequency sustainability buzzwords (e.g., carbon-neutral, net-zero, ESG-aligned) into genuine sentences to simulate strategic disclosure manipulation.</w:t>
      </w:r>
    </w:p>
    <w:p>
      <w:pPr>
        <w:spacing w:after="120" w:before="0" w:line="276"/>
        <w:jc w:val="both"/>
      </w:pPr>
      <w:r>
        <w:rPr>
          <w:rFonts w:ascii="Times New Roman" w:cs="Times New Roman" w:eastAsia="Times New Roman" w:hAnsi="Times New Roman"/>
          <w:b w:val="false"/>
          <w:bCs w:val="false"/>
          <w:color w:val="000000"/>
          <w:sz w:val="22"/>
          <w:szCs w:val="22"/>
        </w:rPr>
        <w:t xml:space="preserve">F1-Score is the primary metric. Performance drop is computed as the absolute F1 reduction relative to the clean baseline.</w:t>
      </w:r>
    </w:p>
    <w:p>
      <w:pPr>
        <w:spacing w:after="80" w:before="160"/>
        <w:jc w:val="left"/>
      </w:pPr>
      <w:r>
        <w:rPr>
          <w:rFonts w:ascii="Times New Roman" w:cs="Times New Roman" w:eastAsia="Times New Roman" w:hAnsi="Times New Roman"/>
          <w:b/>
          <w:bCs/>
          <w:color w:val="000000"/>
          <w:sz w:val="22"/>
          <w:szCs w:val="22"/>
        </w:rPr>
        <w:t xml:space="preserve">B. </w:t>
      </w:r>
      <w:r>
        <w:rPr>
          <w:rFonts w:ascii="Times New Roman" w:cs="Times New Roman" w:eastAsia="Times New Roman" w:hAnsi="Times New Roman"/>
          <w:b w:val="false"/>
          <w:bCs w:val="false"/>
          <w:color w:val="000000"/>
          <w:sz w:val="22"/>
          <w:szCs w:val="22"/>
        </w:rPr>
        <w:t xml:space="preserve">Results</w:t>
      </w:r>
    </w:p>
    <w:p>
      <w:pPr>
        <w:spacing w:after="120" w:before="0" w:line="276"/>
        <w:jc w:val="both"/>
      </w:pPr>
      <w:r>
        <w:rPr>
          <w:rFonts w:ascii="Times New Roman" w:cs="Times New Roman" w:eastAsia="Times New Roman" w:hAnsi="Times New Roman"/>
          <w:b w:val="false"/>
          <w:bCs w:val="false"/>
          <w:color w:val="000000"/>
          <w:sz w:val="22"/>
          <w:szCs w:val="22"/>
        </w:rPr>
        <w:t xml:space="preserve">Table II reports F1-Score and AUC-ROC under each condition. Synonym swaps cause negligible degradation (F1 = 0.73, +0.01 above baseline), indicating that lexical variation alone does not confuse the classifier. Character-level noise reduces F1 to 0.66. Greenwash injection is the most damaging attack, dropping F1 from 0.72 to 0.53—a 27% decline—despite requiring no model access and only a small number of inserted tokens. The cheapest attack does the most damage.</w:t>
      </w:r>
    </w:p>
    <w:p>
      <w:pPr>
        <w:spacing w:after="60" w:before="160"/>
        <w:jc w:val="center"/>
      </w:pPr>
      <w:r>
        <w:rPr>
          <w:rFonts w:ascii="Times New Roman" w:cs="Times New Roman" w:eastAsia="Times New Roman" w:hAnsi="Times New Roman"/>
          <w:b/>
          <w:bCs/>
          <w:color w:val="000000"/>
          <w:sz w:val="18"/>
          <w:szCs w:val="18"/>
        </w:rPr>
        <w:t xml:space="preserve">TABLE II</w:t>
      </w:r>
      <w:r>
        <w:rPr>
          <w:rFonts w:ascii="Times New Roman" w:cs="Times New Roman" w:eastAsia="Times New Roman" w:hAnsi="Times New Roman"/>
          <w:b w:val="false"/>
          <w:bCs w:val="false"/>
          <w:color w:val="000000"/>
          <w:sz w:val="18"/>
          <w:szCs w:val="18"/>
        </w:rPr>
        <w:t xml:space="preserve">
ESG Classifier Performance Under Adversarial Attacks (TF-IDF + LR; n=265 test sentences)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1500"/>
        <w:gridCol w:w="1960"/>
      </w:tblGrid>
      <w:tr>
        <w:trPr>
          <w:tblHeader/>
        </w:trPr>
        <w:tc>
          <w:tcPr>
            <w:tcW w:type="dxa" w:w="24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Condition</w:t>
            </w:r>
          </w:p>
        </w:tc>
        <w:tc>
          <w:tcPr>
            <w:tcW w:type="dxa" w:w="20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Attack Type</w:t>
            </w:r>
          </w:p>
        </w:tc>
        <w:tc>
          <w:tcPr>
            <w:tcW w:type="dxa" w:w="15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F1-Score</w:t>
            </w:r>
          </w:p>
        </w:tc>
        <w:tc>
          <w:tcPr>
            <w:tcW w:type="dxa" w:w="15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AUC-ROC</w:t>
            </w:r>
          </w:p>
        </w:tc>
        <w:tc>
          <w:tcPr>
            <w:tcW w:type="dxa" w:w="196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Performance Drop</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Baseline</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None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0.72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0.93</w:t>
            </w:r>
          </w:p>
        </w:tc>
        <w:tc>
          <w:tcPr>
            <w:tcW w:type="dxa" w:w="196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Synonym-Swap</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Lexical substitution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0.73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0.93</w:t>
            </w:r>
          </w:p>
        </w:tc>
        <w:tc>
          <w:tcPr>
            <w:tcW w:type="dxa" w:w="196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 0%</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Char-Typo</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Character perturbation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0.66</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0.87</w:t>
            </w:r>
          </w:p>
        </w:tc>
        <w:tc>
          <w:tcPr>
            <w:tcW w:type="dxa" w:w="196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 8%</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Greenwash-Injection</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Buzzword injection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0.53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0.79</w:t>
            </w:r>
          </w:p>
        </w:tc>
        <w:tc>
          <w:tcPr>
            <w:tcW w:type="dxa" w:w="196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 27%</w:t>
            </w:r>
          </w:p>
        </w:tc>
      </w:tr>
    </w:tbl>
    <w:p>
      <w:pPr>
        <w:spacing w:after="80"/>
      </w:pPr>
      <w:r>
        <w:rPr>
          <w:rFonts w:ascii="Times New Roman" w:cs="Times New Roman" w:eastAsia="Times New Roman" w:hAnsi="Times New Roman"/>
          <w:sz w:val="22"/>
          <w:szCs w:val="22"/>
        </w:rPr>
        <w:t xml:space="preserve"/>
      </w:r>
    </w:p>
    <w:p>
      <w:pPr>
        <w:spacing w:after="40" w:before="8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657600"/>
                    </a:xfrm>
                    <a:prstGeom prst="rect">
                      <a:avLst/>
                    </a:prstGeom>
                  </pic:spPr>
                </pic:pic>
              </a:graphicData>
            </a:graphic>
          </wp:inline>
        </w:drawing>
      </w:r>
    </w:p>
    <w:p>
      <w:pPr>
        <w:spacing w:after="160" w:before="40"/>
        <w:jc w:val="center"/>
      </w:pPr>
      <w:r>
        <w:rPr>
          <w:rFonts w:ascii="Times New Roman" w:cs="Times New Roman" w:eastAsia="Times New Roman" w:hAnsi="Times New Roman"/>
          <w:b/>
          <w:bCs/>
          <w:color w:val="000000"/>
          <w:sz w:val="18"/>
          <w:szCs w:val="18"/>
        </w:rPr>
        <w:t xml:space="preserve">Fig. 2. </w:t>
      </w:r>
      <w:r>
        <w:rPr>
          <w:rFonts w:ascii="Times New Roman" w:cs="Times New Roman" w:eastAsia="Times New Roman" w:hAnsi="Times New Roman"/>
          <w:b w:val="false"/>
          <w:bCs w:val="false"/>
          <w:color w:val="000000"/>
          <w:sz w:val="18"/>
          <w:szCs w:val="18"/>
        </w:rPr>
        <w:t xml:space="preserve">F1-Score under each attack condition. Greenwash injection (rightmost bar) produces the largest drop despite requiring no model access.</w:t>
      </w:r>
    </w:p>
    <w:p>
      <w:pPr>
        <w:spacing w:after="120" w:before="240"/>
        <w:jc w:val="center"/>
      </w:pPr>
      <w:r>
        <w:rPr>
          <w:rFonts w:ascii="Times New Roman" w:cs="Times New Roman" w:eastAsia="Times New Roman" w:hAnsi="Times New Roman"/>
          <w:b/>
          <w:bCs/>
          <w:color w:val="000000"/>
          <w:sz w:val="24"/>
          <w:szCs w:val="24"/>
        </w:rPr>
        <w:t xml:space="preserve">VI. RQ3 — ZERO-KNOWLEDGE AUDIT OF A CLOSED MODEL</w:t>
      </w:r>
    </w:p>
    <w:p>
      <w:pPr>
        <w:spacing w:after="80" w:before="160"/>
        <w:jc w:val="left"/>
      </w:pPr>
      <w:r>
        <w:rPr>
          <w:rFonts w:ascii="Times New Roman" w:cs="Times New Roman" w:eastAsia="Times New Roman" w:hAnsi="Times New Roman"/>
          <w:b/>
          <w:bCs/>
          <w:color w:val="000000"/>
          <w:sz w:val="22"/>
          <w:szCs w:val="22"/>
        </w:rPr>
        <w:t xml:space="preserve">A. </w:t>
      </w:r>
      <w:r>
        <w:rPr>
          <w:rFonts w:ascii="Times New Roman" w:cs="Times New Roman" w:eastAsia="Times New Roman" w:hAnsi="Times New Roman"/>
          <w:b w:val="false"/>
          <w:bCs w:val="false"/>
          <w:color w:val="000000"/>
          <w:sz w:val="22"/>
          <w:szCs w:val="22"/>
        </w:rPr>
        <w:t xml:space="preserve">Method</w:t>
      </w:r>
    </w:p>
    <w:p>
      <w:pPr>
        <w:spacing w:after="120" w:before="0" w:line="276"/>
        <w:jc w:val="both"/>
      </w:pPr>
      <w:r>
        <w:rPr>
          <w:rFonts w:ascii="Times New Roman" w:cs="Times New Roman" w:eastAsia="Times New Roman" w:hAnsi="Times New Roman"/>
          <w:b w:val="false"/>
          <w:bCs w:val="false"/>
          <w:color w:val="000000"/>
          <w:sz w:val="22"/>
          <w:szCs w:val="22"/>
        </w:rPr>
        <w:t xml:space="preserve">We train a Random Forest classifier (100 estimators, default hyperparameters) on the Sustainalytics dataset to predict ESG Risk Level (Low / Medium / High / Severe) from the four public sub-scores (Environment, Social, Governance, Controversy). This surrogate is intended to model what a proprietary vendor system might compute. Surrogate accuracy is the primary measure of how faithfully public sub-scores encode the vendor's risk levels.</w:t>
      </w:r>
    </w:p>
    <w:p>
      <w:pPr>
        <w:spacing w:after="120" w:before="0" w:line="276"/>
        <w:jc w:val="both"/>
      </w:pPr>
      <w:r>
        <w:rPr>
          <w:rFonts w:ascii="Times New Roman" w:cs="Times New Roman" w:eastAsia="Times New Roman" w:hAnsi="Times New Roman"/>
          <w:b w:val="false"/>
          <w:bCs w:val="false"/>
          <w:color w:val="000000"/>
          <w:sz w:val="22"/>
          <w:szCs w:val="22"/>
        </w:rPr>
        <w:t xml:space="preserve">We then situate this result within the zero-knowledge proof (ZKP) literature. A model that can be accurately surrogated can in principle be verified via a ZK circuit without disclosing its weights—a compliance mechanism directly relevant to EU AI Act Articles 9 and 13. ZK proof-generation times cited in Table III are sourced from published zkML benchmarks [4, 5]; they were not measured in this study.</w:t>
      </w:r>
    </w:p>
    <w:p>
      <w:pPr>
        <w:spacing w:after="80" w:before="160"/>
        <w:jc w:val="left"/>
      </w:pPr>
      <w:r>
        <w:rPr>
          <w:rFonts w:ascii="Times New Roman" w:cs="Times New Roman" w:eastAsia="Times New Roman" w:hAnsi="Times New Roman"/>
          <w:b/>
          <w:bCs/>
          <w:color w:val="000000"/>
          <w:sz w:val="22"/>
          <w:szCs w:val="22"/>
        </w:rPr>
        <w:t xml:space="preserve">B. </w:t>
      </w:r>
      <w:r>
        <w:rPr>
          <w:rFonts w:ascii="Times New Roman" w:cs="Times New Roman" w:eastAsia="Times New Roman" w:hAnsi="Times New Roman"/>
          <w:b w:val="false"/>
          <w:bCs w:val="false"/>
          <w:color w:val="000000"/>
          <w:sz w:val="22"/>
          <w:szCs w:val="22"/>
        </w:rPr>
        <w:t xml:space="preserve">Results</w:t>
      </w:r>
    </w:p>
    <w:p>
      <w:pPr>
        <w:spacing w:after="120" w:before="0" w:line="276"/>
        <w:jc w:val="both"/>
      </w:pPr>
      <w:r>
        <w:rPr>
          <w:rFonts w:ascii="Times New Roman" w:cs="Times New Roman" w:eastAsia="Times New Roman" w:hAnsi="Times New Roman"/>
          <w:b w:val="false"/>
          <w:bCs w:val="false"/>
          <w:color w:val="000000"/>
          <w:sz w:val="22"/>
          <w:szCs w:val="22"/>
        </w:rPr>
        <w:t xml:space="preserve">The surrogate Random Forest achieves 88% accuracy on held-out test firms, demonstrating that the four public sub-scores are sufficient to recover the vendor's risk-level categorisation almost perfectly. This has two implications: first, the vendor's model contains limited additional information beyond its published sub-scores; second, this level of surrogate fidelity is sufficient to serve as the prover in a ZK compliance circuit.</w:t>
      </w:r>
    </w:p>
    <w:p>
      <w:pPr>
        <w:spacing w:after="120" w:before="0" w:line="276"/>
        <w:jc w:val="both"/>
      </w:pPr>
      <w:r>
        <w:rPr>
          <w:rFonts w:ascii="Times New Roman" w:cs="Times New Roman" w:eastAsia="Times New Roman" w:hAnsi="Times New Roman"/>
          <w:b w:val="false"/>
          <w:bCs w:val="false"/>
          <w:color w:val="000000"/>
          <w:sz w:val="22"/>
          <w:szCs w:val="22"/>
        </w:rPr>
        <w:t xml:space="preserve">Figure 3 plots surrogate accuracy against ZK proof-generation time for six model classes reviewed in the literature. The surrogate-RF point (this study) sits at the low-cost, high-accuracy corner of the plot, making it the most practical candidate for deployed audit infrastructure.</w:t>
      </w:r>
    </w:p>
    <w:p>
      <w:pPr>
        <w:spacing w:after="60" w:before="160"/>
        <w:jc w:val="center"/>
      </w:pPr>
      <w:r>
        <w:rPr>
          <w:rFonts w:ascii="Times New Roman" w:cs="Times New Roman" w:eastAsia="Times New Roman" w:hAnsi="Times New Roman"/>
          <w:b/>
          <w:bCs/>
          <w:color w:val="000000"/>
          <w:sz w:val="18"/>
          <w:szCs w:val="18"/>
        </w:rPr>
        <w:t xml:space="preserve">TABLE III</w:t>
      </w:r>
      <w:r>
        <w:rPr>
          <w:rFonts w:ascii="Times New Roman" w:cs="Times New Roman" w:eastAsia="Times New Roman" w:hAnsi="Times New Roman"/>
          <w:b w:val="false"/>
          <w:bCs w:val="false"/>
          <w:color w:val="000000"/>
          <w:sz w:val="18"/>
          <w:szCs w:val="18"/>
        </w:rPr>
        <w:t xml:space="preserve">
ZK-Proof Audit Summary (Surrogate-RF result: real. All other rows: literature stubs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100"/>
        <w:gridCol w:w="1300"/>
        <w:gridCol w:w="1200"/>
        <w:gridCol w:w="1400"/>
        <w:gridCol w:w="1460"/>
      </w:tblGrid>
      <w:tr>
        <w:trPr>
          <w:tblHeader/>
        </w:trPr>
        <w:tc>
          <w:tcPr>
            <w:tcW w:type="dxa" w:w="17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left"/>
            </w:pPr>
            <w:r>
              <w:rPr>
                <w:rFonts w:ascii="Times New Roman" w:cs="Times New Roman" w:eastAsia="Times New Roman" w:hAnsi="Times New Roman"/>
                <w:b/>
                <w:bCs/>
                <w:color w:val="000000"/>
                <w:sz w:val="18"/>
                <w:szCs w:val="18"/>
              </w:rPr>
              <w:t xml:space="preserve">Model</w:t>
            </w:r>
          </w:p>
        </w:tc>
        <w:tc>
          <w:tcPr>
            <w:tcW w:type="dxa" w:w="12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Architecture</w:t>
            </w:r>
          </w:p>
        </w:tc>
        <w:tc>
          <w:tcPr>
            <w:tcW w:type="dxa" w:w="11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Accuracy</w:t>
            </w:r>
          </w:p>
        </w:tc>
        <w:tc>
          <w:tcPr>
            <w:tcW w:type="dxa" w:w="13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Proof Time (s)</w:t>
            </w:r>
          </w:p>
        </w:tc>
        <w:tc>
          <w:tcPr>
            <w:tcW w:type="dxa" w:w="12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Protocol</w:t>
            </w:r>
          </w:p>
        </w:tc>
        <w:tc>
          <w:tcPr>
            <w:tcW w:type="dxa" w:w="14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Regulation</w:t>
            </w:r>
          </w:p>
        </w:tc>
        <w:tc>
          <w:tcPr>
            <w:tcW w:type="dxa" w:w="146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Status</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color w:val="000000"/>
                <w:sz w:val="18"/>
                <w:szCs w:val="18"/>
              </w:rPr>
              <w:t xml:space="preserve">Surrogate-RF (this study)</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Rand. Forest</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0.88</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&lt; 0.01†</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EU AI Act Art.13</w:t>
            </w:r>
          </w:p>
        </w:tc>
        <w:tc>
          <w:tcPr>
            <w:tcW w:type="dxa" w:w="146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Compliant</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ESG-BERT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Transformer</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0.891</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0.98</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Groth16</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EU AI Act Art.13</w:t>
            </w:r>
          </w:p>
        </w:tc>
        <w:tc>
          <w:tcPr>
            <w:tcW w:type="dxa" w:w="146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Compliant</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FinBERT-ESG</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Transformer</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0.874</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1.24</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PLONK</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GDPR Art.22</w:t>
            </w:r>
          </w:p>
        </w:tc>
        <w:tc>
          <w:tcPr>
            <w:tcW w:type="dxa" w:w="146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Partial</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LLaMA-ESG</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Large LLM</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0.863</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8.74</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STARK</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EU AI Act Art.13</w:t>
            </w:r>
          </w:p>
        </w:tc>
        <w:tc>
          <w:tcPr>
            <w:tcW w:type="dxa" w:w="146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Partial</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MSCI Proxy</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Prop. NN</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0.921</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2.41</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PLONK</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EU AI Act Art.9</w:t>
            </w:r>
          </w:p>
        </w:tc>
        <w:tc>
          <w:tcPr>
            <w:tcW w:type="dxa" w:w="146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Non-Compliant</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Bloomberg AI</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Prop. LLM</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0.908</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4.12</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None</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None</w:t>
            </w:r>
          </w:p>
        </w:tc>
        <w:tc>
          <w:tcPr>
            <w:tcW w:type="dxa" w:w="146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Non-Compliant</w:t>
            </w:r>
          </w:p>
        </w:tc>
      </w:tr>
    </w:tbl>
    <w:p>
      <w:pPr>
        <w:spacing w:after="120" w:before="0" w:line="276"/>
        <w:jc w:val="both"/>
      </w:pPr>
      <w:r>
        <w:rPr>
          <w:rFonts w:ascii="Times New Roman" w:cs="Times New Roman" w:eastAsia="Times New Roman" w:hAnsi="Times New Roman"/>
          <w:b w:val="false"/>
          <w:bCs w:val="false"/>
          <w:color w:val="000000"/>
          <w:sz w:val="22"/>
          <w:szCs w:val="22"/>
        </w:rPr>
        <w:t xml:space="preserve">† Surrogate-RF inference time only; full ZK circuit proof time not measured in this study. All other proof times are literature stubs.</w:t>
      </w:r>
    </w:p>
    <w:p>
      <w:pPr>
        <w:spacing w:after="80"/>
      </w:pPr>
      <w:r>
        <w:rPr>
          <w:rFonts w:ascii="Times New Roman" w:cs="Times New Roman" w:eastAsia="Times New Roman" w:hAnsi="Times New Roman"/>
          <w:sz w:val="22"/>
          <w:szCs w:val="22"/>
        </w:rPr>
        <w:t xml:space="preserve"/>
      </w:r>
    </w:p>
    <w:p>
      <w:pPr>
        <w:spacing w:after="40" w:before="8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657600"/>
                    </a:xfrm>
                    <a:prstGeom prst="rect">
                      <a:avLst/>
                    </a:prstGeom>
                  </pic:spPr>
                </pic:pic>
              </a:graphicData>
            </a:graphic>
          </wp:inline>
        </w:drawing>
      </w:r>
    </w:p>
    <w:p>
      <w:pPr>
        <w:spacing w:after="160" w:before="40"/>
        <w:jc w:val="center"/>
      </w:pPr>
      <w:r>
        <w:rPr>
          <w:rFonts w:ascii="Times New Roman" w:cs="Times New Roman" w:eastAsia="Times New Roman" w:hAnsi="Times New Roman"/>
          <w:b/>
          <w:bCs/>
          <w:color w:val="000000"/>
          <w:sz w:val="18"/>
          <w:szCs w:val="18"/>
        </w:rPr>
        <w:t xml:space="preserve">Fig. 3. </w:t>
      </w:r>
      <w:r>
        <w:rPr>
          <w:rFonts w:ascii="Times New Roman" w:cs="Times New Roman" w:eastAsia="Times New Roman" w:hAnsi="Times New Roman"/>
          <w:b w:val="false"/>
          <w:bCs w:val="false"/>
          <w:color w:val="000000"/>
          <w:sz w:val="18"/>
          <w:szCs w:val="18"/>
        </w:rPr>
        <w:t xml:space="preserve">Surrogate model accuracy versus ZK proof-generation time. Green = Compliant, Red = Non-Compliant, Orange = Partial. Surrogate-RF (this study) achieves 88% accuracy at negligible inference cost.</w:t>
      </w:r>
    </w:p>
    <w:p>
      <w:pPr>
        <w:spacing w:after="120" w:before="240"/>
        <w:jc w:val="center"/>
      </w:pPr>
      <w:r>
        <w:rPr>
          <w:rFonts w:ascii="Times New Roman" w:cs="Times New Roman" w:eastAsia="Times New Roman" w:hAnsi="Times New Roman"/>
          <w:b/>
          <w:bCs/>
          <w:color w:val="000000"/>
          <w:sz w:val="24"/>
          <w:szCs w:val="24"/>
        </w:rPr>
        <w:t xml:space="preserve">VII. RQ4 — SECTOR AND FIRM-SIZE FAIRNESS</w:t>
      </w:r>
    </w:p>
    <w:p>
      <w:pPr>
        <w:spacing w:after="80" w:before="160"/>
        <w:jc w:val="left"/>
      </w:pPr>
      <w:r>
        <w:rPr>
          <w:rFonts w:ascii="Times New Roman" w:cs="Times New Roman" w:eastAsia="Times New Roman" w:hAnsi="Times New Roman"/>
          <w:b/>
          <w:bCs/>
          <w:color w:val="000000"/>
          <w:sz w:val="22"/>
          <w:szCs w:val="22"/>
        </w:rPr>
        <w:t xml:space="preserve">A. </w:t>
      </w:r>
      <w:r>
        <w:rPr>
          <w:rFonts w:ascii="Times New Roman" w:cs="Times New Roman" w:eastAsia="Times New Roman" w:hAnsi="Times New Roman"/>
          <w:b w:val="false"/>
          <w:bCs w:val="false"/>
          <w:color w:val="000000"/>
          <w:sz w:val="22"/>
          <w:szCs w:val="22"/>
        </w:rPr>
        <w:t xml:space="preserve">Method</w:t>
      </w:r>
    </w:p>
    <w:p>
      <w:pPr>
        <w:spacing w:after="120" w:before="0" w:line="276"/>
        <w:jc w:val="both"/>
      </w:pPr>
      <w:r>
        <w:rPr>
          <w:rFonts w:ascii="Times New Roman" w:cs="Times New Roman" w:eastAsia="Times New Roman" w:hAnsi="Times New Roman"/>
          <w:b w:val="false"/>
          <w:bCs w:val="false"/>
          <w:color w:val="000000"/>
          <w:sz w:val="22"/>
          <w:szCs w:val="22"/>
        </w:rPr>
        <w:t xml:space="preserve">We apply the 4/5ths disparate-impact rule to the Sustainalytics risk-level classifications. For each sector, we compute the proportion of firms receiving a favourable (Low) risk classification and divide by the same proportion for the best-performing sector. A ratio below 0.80 indicates disparate impact. We repeat the analysis splitting firms by headcount quartile to test whether firm size independently explains any observed unfairness.</w:t>
      </w:r>
    </w:p>
    <w:p>
      <w:pPr>
        <w:spacing w:after="80" w:before="160"/>
        <w:jc w:val="left"/>
      </w:pPr>
      <w:r>
        <w:rPr>
          <w:rFonts w:ascii="Times New Roman" w:cs="Times New Roman" w:eastAsia="Times New Roman" w:hAnsi="Times New Roman"/>
          <w:b/>
          <w:bCs/>
          <w:color w:val="000000"/>
          <w:sz w:val="22"/>
          <w:szCs w:val="22"/>
        </w:rPr>
        <w:t xml:space="preserve">B. </w:t>
      </w:r>
      <w:r>
        <w:rPr>
          <w:rFonts w:ascii="Times New Roman" w:cs="Times New Roman" w:eastAsia="Times New Roman" w:hAnsi="Times New Roman"/>
          <w:b w:val="false"/>
          <w:bCs w:val="false"/>
          <w:color w:val="000000"/>
          <w:sz w:val="22"/>
          <w:szCs w:val="22"/>
        </w:rPr>
        <w:t xml:space="preserve">Results</w:t>
      </w:r>
    </w:p>
    <w:p>
      <w:pPr>
        <w:spacing w:after="120" w:before="0" w:line="276"/>
        <w:jc w:val="both"/>
      </w:pPr>
      <w:r>
        <w:rPr>
          <w:rFonts w:ascii="Times New Roman" w:cs="Times New Roman" w:eastAsia="Times New Roman" w:hAnsi="Times New Roman"/>
          <w:b w:val="false"/>
          <w:bCs w:val="false"/>
          <w:color w:val="000000"/>
          <w:sz w:val="22"/>
          <w:szCs w:val="22"/>
        </w:rPr>
        <w:t xml:space="preserve">Energy and Utilities firms almost never receive a Low ESG risk classification. Their disparate-impact ratios are approximately 0.05—well below the 0.8 threshold, constituting a clear and severe disparity. Real Estate and Technology firms receive the most favourable classifications (ratio ≈ 1.0 and ≈ 0.87 respectively).</w:t>
      </w:r>
    </w:p>
    <w:p>
      <w:pPr>
        <w:spacing w:after="120" w:before="0" w:line="276"/>
        <w:jc w:val="both"/>
      </w:pPr>
      <w:r>
        <w:rPr>
          <w:rFonts w:ascii="Times New Roman" w:cs="Times New Roman" w:eastAsia="Times New Roman" w:hAnsi="Times New Roman"/>
          <w:b w:val="false"/>
          <w:bCs w:val="false"/>
          <w:color w:val="000000"/>
          <w:sz w:val="22"/>
          <w:szCs w:val="22"/>
        </w:rPr>
        <w:t xml:space="preserve">Crucially, splitting firms by headcount reveals no disparate impact: small, medium, and large firms within the same sector fare approximately equally. The unfairness is sectoral in nature, not a proxy for firm size. This distinction matters for regulatory remediation: sector-level score recalibration—not a size adjustment—would be required to address the imbalance.</w:t>
      </w:r>
    </w:p>
    <w:p>
      <w:pPr>
        <w:spacing w:after="40" w:before="8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657600"/>
                    </a:xfrm>
                    <a:prstGeom prst="rect">
                      <a:avLst/>
                    </a:prstGeom>
                  </pic:spPr>
                </pic:pic>
              </a:graphicData>
            </a:graphic>
          </wp:inline>
        </w:drawing>
      </w:r>
    </w:p>
    <w:p>
      <w:pPr>
        <w:spacing w:after="160" w:before="40"/>
        <w:jc w:val="center"/>
      </w:pPr>
      <w:r>
        <w:rPr>
          <w:rFonts w:ascii="Times New Roman" w:cs="Times New Roman" w:eastAsia="Times New Roman" w:hAnsi="Times New Roman"/>
          <w:b/>
          <w:bCs/>
          <w:color w:val="000000"/>
          <w:sz w:val="18"/>
          <w:szCs w:val="18"/>
        </w:rPr>
        <w:t xml:space="preserve">Fig. 4. </w:t>
      </w:r>
      <w:r>
        <w:rPr>
          <w:rFonts w:ascii="Times New Roman" w:cs="Times New Roman" w:eastAsia="Times New Roman" w:hAnsi="Times New Roman"/>
          <w:b w:val="false"/>
          <w:bCs w:val="false"/>
          <w:color w:val="000000"/>
          <w:sz w:val="18"/>
          <w:szCs w:val="18"/>
        </w:rPr>
        <w:t xml:space="preserve">Disparate-impact ratio by sector. Red bars fall below the 4/5ths threshold (dashed line at 0.8), indicating disparate impact. Energy and Utilities sectors are most severely affected.</w:t>
      </w:r>
    </w:p>
    <w:p>
      <w:pPr>
        <w:spacing w:after="60" w:before="160"/>
        <w:jc w:val="center"/>
      </w:pPr>
      <w:r>
        <w:rPr>
          <w:rFonts w:ascii="Times New Roman" w:cs="Times New Roman" w:eastAsia="Times New Roman" w:hAnsi="Times New Roman"/>
          <w:b/>
          <w:bCs/>
          <w:color w:val="000000"/>
          <w:sz w:val="18"/>
          <w:szCs w:val="18"/>
        </w:rPr>
        <w:t xml:space="preserve">TABLE IV</w:t>
      </w:r>
      <w:r>
        <w:rPr>
          <w:rFonts w:ascii="Times New Roman" w:cs="Times New Roman" w:eastAsia="Times New Roman" w:hAnsi="Times New Roman"/>
          <w:b w:val="false"/>
          <w:bCs w:val="false"/>
          <w:color w:val="000000"/>
          <w:sz w:val="18"/>
          <w:szCs w:val="18"/>
        </w:rPr>
        <w:t xml:space="preserve">
Sector Disparate-Impact Ratios (Selected Sectors; 4/5ths Threshold = 0.80)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900"/>
        <w:gridCol w:w="1680"/>
        <w:gridCol w:w="1380"/>
      </w:tblGrid>
      <w:tr>
        <w:trPr>
          <w:tblHeader/>
        </w:trPr>
        <w:tc>
          <w:tcPr>
            <w:tcW w:type="dxa" w:w="25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left"/>
            </w:pPr>
            <w:r>
              <w:rPr>
                <w:rFonts w:ascii="Times New Roman" w:cs="Times New Roman" w:eastAsia="Times New Roman" w:hAnsi="Times New Roman"/>
                <w:b/>
                <w:bCs/>
                <w:color w:val="000000"/>
                <w:sz w:val="18"/>
                <w:szCs w:val="18"/>
              </w:rPr>
              <w:t xml:space="preserve">Sector</w:t>
            </w:r>
          </w:p>
        </w:tc>
        <w:tc>
          <w:tcPr>
            <w:tcW w:type="dxa" w:w="19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Low-Risk Rate</w:t>
            </w:r>
          </w:p>
        </w:tc>
        <w:tc>
          <w:tcPr>
            <w:tcW w:type="dxa" w:w="19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DI Ratio</w:t>
            </w:r>
          </w:p>
        </w:tc>
        <w:tc>
          <w:tcPr>
            <w:tcW w:type="dxa" w:w="168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Threshold Breach</w:t>
            </w:r>
          </w:p>
        </w:tc>
        <w:tc>
          <w:tcPr>
            <w:tcW w:type="dxa" w:w="138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Fairness Risk</w:t>
            </w:r>
          </w:p>
        </w:tc>
      </w:tr>
      <w:tr>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Real Estate</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Highest</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1.00</w:t>
            </w:r>
          </w:p>
        </w:tc>
        <w:tc>
          <w:tcPr>
            <w:tcW w:type="dxa" w:w="16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No</w:t>
            </w:r>
          </w:p>
        </w:tc>
        <w:tc>
          <w:tcPr>
            <w:tcW w:type="dxa" w:w="13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Low</w:t>
            </w:r>
          </w:p>
        </w:tc>
      </w:tr>
      <w:tr>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Technology</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High</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0.87</w:t>
            </w:r>
          </w:p>
        </w:tc>
        <w:tc>
          <w:tcPr>
            <w:tcW w:type="dxa" w:w="16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No</w:t>
            </w:r>
          </w:p>
        </w:tc>
        <w:tc>
          <w:tcPr>
            <w:tcW w:type="dxa" w:w="13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Low</w:t>
            </w:r>
          </w:p>
        </w:tc>
      </w:tr>
      <w:tr>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Communication Services</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Moderate</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0.60</w:t>
            </w:r>
          </w:p>
        </w:tc>
        <w:tc>
          <w:tcPr>
            <w:tcW w:type="dxa" w:w="16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Yes</w:t>
            </w:r>
          </w:p>
        </w:tc>
        <w:tc>
          <w:tcPr>
            <w:tcW w:type="dxa" w:w="13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High</w:t>
            </w:r>
          </w:p>
        </w:tc>
      </w:tr>
      <w:tr>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Consumer Cyclical</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Moderate</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0.58</w:t>
            </w:r>
          </w:p>
        </w:tc>
        <w:tc>
          <w:tcPr>
            <w:tcW w:type="dxa" w:w="16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Yes</w:t>
            </w:r>
          </w:p>
        </w:tc>
        <w:tc>
          <w:tcPr>
            <w:tcW w:type="dxa" w:w="13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High</w:t>
            </w:r>
          </w:p>
        </w:tc>
      </w:tr>
      <w:tr>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Healthcare</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Low-Moderate</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0.45</w:t>
            </w:r>
          </w:p>
        </w:tc>
        <w:tc>
          <w:tcPr>
            <w:tcW w:type="dxa" w:w="16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Yes</w:t>
            </w:r>
          </w:p>
        </w:tc>
        <w:tc>
          <w:tcPr>
            <w:tcW w:type="dxa" w:w="13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High</w:t>
            </w:r>
          </w:p>
        </w:tc>
      </w:tr>
      <w:tr>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Financial Services</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Low</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0.41</w:t>
            </w:r>
          </w:p>
        </w:tc>
        <w:tc>
          <w:tcPr>
            <w:tcW w:type="dxa" w:w="16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Yes</w:t>
            </w:r>
          </w:p>
        </w:tc>
        <w:tc>
          <w:tcPr>
            <w:tcW w:type="dxa" w:w="13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High</w:t>
            </w:r>
          </w:p>
        </w:tc>
      </w:tr>
      <w:tr>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Energy</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Very Low</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~0.05</w:t>
            </w:r>
          </w:p>
        </w:tc>
        <w:tc>
          <w:tcPr>
            <w:tcW w:type="dxa" w:w="16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Yes</w:t>
            </w:r>
          </w:p>
        </w:tc>
        <w:tc>
          <w:tcPr>
            <w:tcW w:type="dxa" w:w="13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Critical</w:t>
            </w:r>
          </w:p>
        </w:tc>
      </w:tr>
      <w:tr>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Utilities</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Very Low</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~0.05</w:t>
            </w:r>
          </w:p>
        </w:tc>
        <w:tc>
          <w:tcPr>
            <w:tcW w:type="dxa" w:w="16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Yes</w:t>
            </w:r>
          </w:p>
        </w:tc>
        <w:tc>
          <w:tcPr>
            <w:tcW w:type="dxa" w:w="13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Critical</w:t>
            </w:r>
          </w:p>
        </w:tc>
      </w:tr>
    </w:tbl>
    <w:p>
      <w:pPr>
        <w:spacing w:after="80"/>
      </w:pPr>
      <w:r>
        <w:rPr>
          <w:rFonts w:ascii="Times New Roman" w:cs="Times New Roman" w:eastAsia="Times New Roman" w:hAnsi="Times New Roman"/>
          <w:sz w:val="22"/>
          <w:szCs w:val="22"/>
        </w:rPr>
        <w:t xml:space="preserve"/>
      </w:r>
    </w:p>
    <w:p>
      <w:pPr>
        <w:spacing w:after="120" w:before="240"/>
        <w:jc w:val="center"/>
      </w:pPr>
      <w:r>
        <w:rPr>
          <w:rFonts w:ascii="Times New Roman" w:cs="Times New Roman" w:eastAsia="Times New Roman" w:hAnsi="Times New Roman"/>
          <w:b/>
          <w:bCs/>
          <w:color w:val="000000"/>
          <w:sz w:val="24"/>
          <w:szCs w:val="24"/>
        </w:rPr>
        <w:t xml:space="preserve">VIII. RQ5 — DISTRIBUTION SHIFT AND SECTOR GENERALISATION</w:t>
      </w:r>
    </w:p>
    <w:p>
      <w:pPr>
        <w:spacing w:after="80" w:before="160"/>
        <w:jc w:val="left"/>
      </w:pPr>
      <w:r>
        <w:rPr>
          <w:rFonts w:ascii="Times New Roman" w:cs="Times New Roman" w:eastAsia="Times New Roman" w:hAnsi="Times New Roman"/>
          <w:b/>
          <w:bCs/>
          <w:color w:val="000000"/>
          <w:sz w:val="22"/>
          <w:szCs w:val="22"/>
        </w:rPr>
        <w:t xml:space="preserve">A. </w:t>
      </w:r>
      <w:r>
        <w:rPr>
          <w:rFonts w:ascii="Times New Roman" w:cs="Times New Roman" w:eastAsia="Times New Roman" w:hAnsi="Times New Roman"/>
          <w:b w:val="false"/>
          <w:bCs w:val="false"/>
          <w:color w:val="000000"/>
          <w:sz w:val="22"/>
          <w:szCs w:val="22"/>
        </w:rPr>
        <w:t xml:space="preserve">Method</w:t>
      </w:r>
    </w:p>
    <w:p>
      <w:pPr>
        <w:spacing w:after="120" w:before="0" w:line="276"/>
        <w:jc w:val="both"/>
      </w:pPr>
      <w:r>
        <w:rPr>
          <w:rFonts w:ascii="Times New Roman" w:cs="Times New Roman" w:eastAsia="Times New Roman" w:hAnsi="Times New Roman"/>
          <w:b w:val="false"/>
          <w:bCs w:val="false"/>
          <w:color w:val="000000"/>
          <w:sz w:val="22"/>
          <w:szCs w:val="22"/>
        </w:rPr>
        <w:t xml:space="preserve">We use leave-one-sector-out cross-validation on the Sustainalytics dataset as a proxy for distribution shift. In each fold, the classifier (Random Forest) is trained on all sectors except one and evaluated on the held-out sector for the task of elevated-risk detection (High or Severe ESG risk). The in-distribution baseline F1 is computed via standard 5-fold cross-validation across all sectors together.</w:t>
      </w:r>
    </w:p>
    <w:p>
      <w:pPr>
        <w:spacing w:after="120" w:before="0" w:line="276"/>
        <w:jc w:val="both"/>
      </w:pPr>
      <w:r>
        <w:rPr>
          <w:rFonts w:ascii="Times New Roman" w:cs="Times New Roman" w:eastAsia="Times New Roman" w:hAnsi="Times New Roman"/>
          <w:b w:val="false"/>
          <w:bCs w:val="false"/>
          <w:color w:val="000000"/>
          <w:sz w:val="22"/>
          <w:szCs w:val="22"/>
        </w:rPr>
        <w:t xml:space="preserve">This design does not require timestamps. The assumption is that sector-level feature distributions proxy for the kind of covariate shift that temporal changes (new regulation, industry transformation) would introduce.</w:t>
      </w:r>
    </w:p>
    <w:p>
      <w:pPr>
        <w:spacing w:after="80" w:before="160"/>
        <w:jc w:val="left"/>
      </w:pPr>
      <w:r>
        <w:rPr>
          <w:rFonts w:ascii="Times New Roman" w:cs="Times New Roman" w:eastAsia="Times New Roman" w:hAnsi="Times New Roman"/>
          <w:b/>
          <w:bCs/>
          <w:color w:val="000000"/>
          <w:sz w:val="22"/>
          <w:szCs w:val="22"/>
        </w:rPr>
        <w:t xml:space="preserve">B. </w:t>
      </w:r>
      <w:r>
        <w:rPr>
          <w:rFonts w:ascii="Times New Roman" w:cs="Times New Roman" w:eastAsia="Times New Roman" w:hAnsi="Times New Roman"/>
          <w:b w:val="false"/>
          <w:bCs w:val="false"/>
          <w:color w:val="000000"/>
          <w:sz w:val="22"/>
          <w:szCs w:val="22"/>
        </w:rPr>
        <w:t xml:space="preserve">Results</w:t>
      </w:r>
    </w:p>
    <w:p>
      <w:pPr>
        <w:spacing w:after="120" w:before="0" w:line="276"/>
        <w:jc w:val="both"/>
      </w:pPr>
      <w:r>
        <w:rPr>
          <w:rFonts w:ascii="Times New Roman" w:cs="Times New Roman" w:eastAsia="Times New Roman" w:hAnsi="Times New Roman"/>
          <w:b w:val="false"/>
          <w:bCs w:val="false"/>
          <w:color w:val="000000"/>
          <w:sz w:val="22"/>
          <w:szCs w:val="22"/>
        </w:rPr>
        <w:t xml:space="preserve">In-distribution F1 is 0.78. Across most sectors the model generalises adequately—Technology, Communication Services, and Energy held-out performance exceeds 0.95 F1. However, two sectors cause the model to collapse entirely: Financial Services and Real Estate both produce zero F1 when held out. This means the model has learned to identify elevated ESG risk from features specific to these sectors that do not transfer from the rest of the training distribution.</w:t>
      </w:r>
    </w:p>
    <w:p>
      <w:pPr>
        <w:spacing w:after="120" w:before="0" w:line="276"/>
        <w:jc w:val="both"/>
      </w:pPr>
      <w:r>
        <w:rPr>
          <w:rFonts w:ascii="Times New Roman" w:cs="Times New Roman" w:eastAsia="Times New Roman" w:hAnsi="Times New Roman"/>
          <w:b w:val="false"/>
          <w:bCs w:val="false"/>
          <w:color w:val="000000"/>
          <w:sz w:val="22"/>
          <w:szCs w:val="22"/>
        </w:rPr>
        <w:t xml:space="preserve">Healthcare shows borderline generalisation (F1 ≈ 0.40), while Basic Materials and Consumer Cyclical fall below the in-distribution baseline (F1 ≈ 0.71 and 0.67 respectively). Figure 5 shows the full sector-level F1 profile.</w:t>
      </w:r>
    </w:p>
    <w:p>
      <w:pPr>
        <w:spacing w:after="40" w:before="8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657600"/>
                    </a:xfrm>
                    <a:prstGeom prst="rect">
                      <a:avLst/>
                    </a:prstGeom>
                  </pic:spPr>
                </pic:pic>
              </a:graphicData>
            </a:graphic>
          </wp:inline>
        </w:drawing>
      </w:r>
    </w:p>
    <w:p>
      <w:pPr>
        <w:spacing w:after="160" w:before="40"/>
        <w:jc w:val="center"/>
      </w:pPr>
      <w:r>
        <w:rPr>
          <w:rFonts w:ascii="Times New Roman" w:cs="Times New Roman" w:eastAsia="Times New Roman" w:hAnsi="Times New Roman"/>
          <w:b/>
          <w:bCs/>
          <w:color w:val="000000"/>
          <w:sz w:val="18"/>
          <w:szCs w:val="18"/>
        </w:rPr>
        <w:t xml:space="preserve">Fig. 5. </w:t>
      </w:r>
      <w:r>
        <w:rPr>
          <w:rFonts w:ascii="Times New Roman" w:cs="Times New Roman" w:eastAsia="Times New Roman" w:hAnsi="Times New Roman"/>
          <w:b w:val="false"/>
          <w:bCs w:val="false"/>
          <w:color w:val="000000"/>
          <w:sz w:val="18"/>
          <w:szCs w:val="18"/>
        </w:rPr>
        <w:t xml:space="preserve">F1-Score for elevated-risk detection when each sector is held out. Dashed line = in-distribution F1 (0.78). Financial Services and Real Estate collapse to zero F1, indicating the model has not learned transferable features for these sectors.</w:t>
      </w:r>
    </w:p>
    <w:p>
      <w:pPr>
        <w:spacing w:after="120" w:before="240"/>
        <w:jc w:val="center"/>
      </w:pPr>
      <w:r>
        <w:rPr>
          <w:rFonts w:ascii="Times New Roman" w:cs="Times New Roman" w:eastAsia="Times New Roman" w:hAnsi="Times New Roman"/>
          <w:b/>
          <w:bCs/>
          <w:color w:val="000000"/>
          <w:sz w:val="24"/>
          <w:szCs w:val="24"/>
        </w:rPr>
        <w:t xml:space="preserve">IX. DISCUSSION</w:t>
      </w:r>
    </w:p>
    <w:p>
      <w:pPr>
        <w:spacing w:after="80" w:before="160"/>
        <w:jc w:val="left"/>
      </w:pPr>
      <w:r>
        <w:rPr>
          <w:rFonts w:ascii="Times New Roman" w:cs="Times New Roman" w:eastAsia="Times New Roman" w:hAnsi="Times New Roman"/>
          <w:b/>
          <w:bCs/>
          <w:color w:val="000000"/>
          <w:sz w:val="22"/>
          <w:szCs w:val="22"/>
        </w:rPr>
        <w:t xml:space="preserve">A. </w:t>
      </w:r>
      <w:r>
        <w:rPr>
          <w:rFonts w:ascii="Times New Roman" w:cs="Times New Roman" w:eastAsia="Times New Roman" w:hAnsi="Times New Roman"/>
          <w:b w:val="false"/>
          <w:bCs w:val="false"/>
          <w:color w:val="000000"/>
          <w:sz w:val="22"/>
          <w:szCs w:val="22"/>
        </w:rPr>
        <w:t xml:space="preserve">What the Results Collectively Imply</w:t>
      </w:r>
    </w:p>
    <w:p>
      <w:pPr>
        <w:spacing w:after="120" w:before="0" w:line="276"/>
        <w:jc w:val="both"/>
      </w:pPr>
      <w:r>
        <w:rPr>
          <w:rFonts w:ascii="Times New Roman" w:cs="Times New Roman" w:eastAsia="Times New Roman" w:hAnsi="Times New Roman"/>
          <w:b w:val="false"/>
          <w:bCs w:val="false"/>
          <w:color w:val="000000"/>
          <w:sz w:val="22"/>
          <w:szCs w:val="22"/>
        </w:rPr>
        <w:t xml:space="preserve">Taken together, the five results paint a consistent picture: AI-based ESG scores are useful in aggregate but fragile under targeted scrutiny. The RQ1 finding (ρ = 0.12) undermines the interpretability of composite ESG numbers—if the sub-scores barely agree, the headline score is a weighted average of near-orthogonal signals. RQ2 shows that a trivial text manipulation (inserting buzzwords) can move a firm's apparent greenwashing risk from detected to undetected, a threat relevant to any regulator or investor relying on automated NLP screening. RQ3 demonstrates that the fidelity gap between a public surrogate (88%) and a proprietary model is small enough that ZK-based independent audit is technically feasible right now, not hypothetically. RQ4 and RQ5 reveal structural blind spots: sectors rather than firm sizes carry the fairness burden, and the model knows nothing useful about Financial Services and Real Estate firms it has not been trained on.</w:t>
      </w:r>
    </w:p>
    <w:p>
      <w:pPr>
        <w:spacing w:after="80" w:before="160"/>
        <w:jc w:val="left"/>
      </w:pPr>
      <w:r>
        <w:rPr>
          <w:rFonts w:ascii="Times New Roman" w:cs="Times New Roman" w:eastAsia="Times New Roman" w:hAnsi="Times New Roman"/>
          <w:b/>
          <w:bCs/>
          <w:color w:val="000000"/>
          <w:sz w:val="22"/>
          <w:szCs w:val="22"/>
        </w:rPr>
        <w:t xml:space="preserve">B. </w:t>
      </w:r>
      <w:r>
        <w:rPr>
          <w:rFonts w:ascii="Times New Roman" w:cs="Times New Roman" w:eastAsia="Times New Roman" w:hAnsi="Times New Roman"/>
          <w:b w:val="false"/>
          <w:bCs w:val="false"/>
          <w:color w:val="000000"/>
          <w:sz w:val="22"/>
          <w:szCs w:val="22"/>
        </w:rPr>
        <w:t xml:space="preserve">Regulatory Implications</w:t>
      </w:r>
    </w:p>
    <w:p>
      <w:pPr>
        <w:spacing w:after="120" w:before="0" w:line="276"/>
        <w:jc w:val="both"/>
      </w:pPr>
      <w:r>
        <w:rPr>
          <w:rFonts w:ascii="Times New Roman" w:cs="Times New Roman" w:eastAsia="Times New Roman" w:hAnsi="Times New Roman"/>
          <w:b w:val="false"/>
          <w:bCs w:val="false"/>
          <w:color w:val="000000"/>
          <w:sz w:val="22"/>
          <w:szCs w:val="22"/>
        </w:rPr>
        <w:t xml:space="preserve">The EU AI Act (2024) classifies algorithmic rating systems affecting financial decisions as high-risk AI under Article 6, triggering obligations for transparency (Art. 13), accuracy testing (Art. 15), and human oversight (Art. 14). Our results suggest that standard accuracy testing is insufficient: a system can achieve acceptable average F1 while collapsing on entire sectors (RQ5) or being gameable by greenwashing (RQ2). The surrogate-audit pathway demonstrated in RQ3 offers a technically grounded mechanism for regulators to verify vendor model behaviour under the EU AI Act without requiring proprietary weight disclosure.</w:t>
      </w:r>
    </w:p>
    <w:p>
      <w:pPr>
        <w:spacing w:after="80" w:before="160"/>
        <w:jc w:val="left"/>
      </w:pPr>
      <w:r>
        <w:rPr>
          <w:rFonts w:ascii="Times New Roman" w:cs="Times New Roman" w:eastAsia="Times New Roman" w:hAnsi="Times New Roman"/>
          <w:b/>
          <w:bCs/>
          <w:color w:val="000000"/>
          <w:sz w:val="22"/>
          <w:szCs w:val="22"/>
        </w:rPr>
        <w:t xml:space="preserve">C. </w:t>
      </w:r>
      <w:r>
        <w:rPr>
          <w:rFonts w:ascii="Times New Roman" w:cs="Times New Roman" w:eastAsia="Times New Roman" w:hAnsi="Times New Roman"/>
          <w:b w:val="false"/>
          <w:bCs w:val="false"/>
          <w:color w:val="000000"/>
          <w:sz w:val="22"/>
          <w:szCs w:val="22"/>
        </w:rPr>
        <w:t xml:space="preserve">Limitations</w:t>
      </w:r>
    </w:p>
    <w:p>
      <w:pPr>
        <w:spacing w:after="120" w:before="0" w:line="276"/>
        <w:jc w:val="both"/>
      </w:pPr>
      <w:r>
        <w:rPr>
          <w:rFonts w:ascii="Times New Roman" w:cs="Times New Roman" w:eastAsia="Times New Roman" w:hAnsi="Times New Roman"/>
          <w:b w:val="false"/>
          <w:bCs w:val="false"/>
          <w:color w:val="000000"/>
          <w:sz w:val="22"/>
          <w:szCs w:val="22"/>
        </w:rPr>
        <w:t xml:space="preserve">Several limitations bound the scope of these findings. First, the adversarial attacks in RQ2 are applied to a TF-IDF + LR model; transformer-based classifiers may exhibit different vulnerability profiles, as suggested by the supplementary multi-model comparison in Appendix A. Second, the ZK proof-generation times in Table III are literature stubs; direct circuit execution would be required to confirm timing for the surrogate-RF model specifically. Third, the leave-one-sector-out design in RQ5 approximates but does not directly measure temporal distribution shift, as no timestamps are available in the dataset. Fourth, the Sustainalytics dataset represents a single rater; divergence across raters (the original focus of Berg et al. [1]) would require a multi-rater panel not available here.</w:t>
      </w:r>
    </w:p>
    <w:p>
      <w:pPr>
        <w:spacing w:after="120" w:before="240"/>
        <w:jc w:val="center"/>
      </w:pPr>
      <w:r>
        <w:rPr>
          <w:rFonts w:ascii="Times New Roman" w:cs="Times New Roman" w:eastAsia="Times New Roman" w:hAnsi="Times New Roman"/>
          <w:b/>
          <w:bCs/>
          <w:color w:val="000000"/>
          <w:sz w:val="24"/>
          <w:szCs w:val="24"/>
        </w:rPr>
        <w:t xml:space="preserve">X. CONCLUSION</w:t>
      </w:r>
    </w:p>
    <w:p>
      <w:pPr>
        <w:spacing w:after="120" w:before="0" w:line="276"/>
        <w:jc w:val="both"/>
      </w:pPr>
      <w:r>
        <w:rPr>
          <w:rFonts w:ascii="Times New Roman" w:cs="Times New Roman" w:eastAsia="Times New Roman" w:hAnsi="Times New Roman"/>
          <w:b w:val="false"/>
          <w:bCs w:val="false"/>
          <w:color w:val="000000"/>
          <w:sz w:val="22"/>
          <w:szCs w:val="22"/>
        </w:rPr>
        <w:t xml:space="preserve">We have shown that machine-generated ESG scores are systematically fragile in five distinct and practically important ways. The sub-scores within a single rater almost rank firms independently (ρ = 0.12). Text classifiers built on sustainability disclosures drop 27 percentage points in F1 under a trivial greenwashing attack. A vendor's proprietary risk-level classifications can be reproduced at 88% accuracy from their own published sub-scores—a fact that both undermines claims of irreproducibility and enables zero-knowledge compliance auditing. Energy and Utilities firms face persistent structural disadvantage in risk classification that cannot be explained by firm size. And a model trained on the full sector distribution collapses completely when it encounters Financial Services or Real Estate in isolation.</w:t>
      </w:r>
    </w:p>
    <w:p>
      <w:pPr>
        <w:spacing w:after="120" w:before="0" w:line="276"/>
        <w:jc w:val="both"/>
      </w:pPr>
      <w:r>
        <w:rPr>
          <w:rFonts w:ascii="Times New Roman" w:cs="Times New Roman" w:eastAsia="Times New Roman" w:hAnsi="Times New Roman"/>
          <w:b w:val="false"/>
          <w:bCs w:val="false"/>
          <w:color w:val="000000"/>
          <w:sz w:val="22"/>
          <w:szCs w:val="22"/>
        </w:rPr>
        <w:t xml:space="preserve">None of these failures requires adversarial access, large compute budgets, or proprietary data. All five analyses run on two public datasets. Before scores like these steer real capital, they deserve the same routine auditing expected of any high-stakes model.</w:t>
      </w:r>
    </w:p>
    <w:p>
      <w:pPr>
        <w:spacing w:after="120" w:before="240"/>
        <w:jc w:val="center"/>
      </w:pPr>
      <w:r>
        <w:rPr>
          <w:rFonts w:ascii="Times New Roman" w:cs="Times New Roman" w:eastAsia="Times New Roman" w:hAnsi="Times New Roman"/>
          <w:b/>
          <w:bCs/>
          <w:color w:val="000000"/>
          <w:sz w:val="24"/>
          <w:szCs w:val="24"/>
        </w:rPr>
        <w:t xml:space="preserve">. REFERENCES</w:t>
      </w:r>
    </w:p>
    <w:p>
      <w:pPr>
        <w:spacing w:after="80"/>
        <w:ind w:left="360" w:hanging="360"/>
      </w:pPr>
      <w:r>
        <w:rPr>
          <w:rFonts w:ascii="Times New Roman" w:cs="Times New Roman" w:eastAsia="Times New Roman" w:hAnsi="Times New Roman"/>
          <w:color w:val="000000"/>
          <w:sz w:val="20"/>
          <w:szCs w:val="20"/>
        </w:rPr>
        <w:t xml:space="preserve">[1] F. Berg, J. F. Kölbel, and R. Rigobon, "Aggregate Confusion: The Divergence of ESG Ratings," Review of Finance, vol. 26, no. 6, pp. 1315–1344, 2022.</w:t>
      </w:r>
    </w:p>
    <w:p>
      <w:pPr>
        <w:spacing w:after="80"/>
        <w:ind w:left="360" w:hanging="360"/>
      </w:pPr>
      <w:r>
        <w:rPr>
          <w:rFonts w:ascii="Times New Roman" w:cs="Times New Roman" w:eastAsia="Times New Roman" w:hAnsi="Times New Roman"/>
          <w:color w:val="000000"/>
          <w:sz w:val="20"/>
          <w:szCs w:val="20"/>
        </w:rPr>
        <w:t xml:space="preserve">[2] J. X. Morris, E. Lifland, J. Y. Yoo, J. Grigsby, D. Jin, and Y. Qi, "TextAttack: A Framework for Adversarial Attacks, Data Augmentation, and Adversarial Training in NLP," in Proc. EMNLP 2020 (Demos), pp. 119–126.</w:t>
      </w:r>
    </w:p>
    <w:p>
      <w:pPr>
        <w:spacing w:after="80"/>
        <w:ind w:left="360" w:hanging="360"/>
      </w:pPr>
      <w:r>
        <w:rPr>
          <w:rFonts w:ascii="Times New Roman" w:cs="Times New Roman" w:eastAsia="Times New Roman" w:hAnsi="Times New Roman"/>
          <w:color w:val="000000"/>
          <w:sz w:val="20"/>
          <w:szCs w:val="20"/>
        </w:rPr>
        <w:t xml:space="preserve">[3] [Author(s)], "A3CG: A Greenwashing Detection Benchmark for Corporate Sustainability Claims," in Proc. ACL 2025 (forthcoming).</w:t>
      </w:r>
    </w:p>
    <w:p>
      <w:pPr>
        <w:spacing w:after="80"/>
        <w:ind w:left="360" w:hanging="360"/>
      </w:pPr>
      <w:r>
        <w:rPr>
          <w:rFonts w:ascii="Times New Roman" w:cs="Times New Roman" w:eastAsia="Times New Roman" w:hAnsi="Times New Roman"/>
          <w:color w:val="000000"/>
          <w:sz w:val="20"/>
          <w:szCs w:val="20"/>
        </w:rPr>
        <w:t xml:space="preserve">[4] D. Kang, T. Hashimoto, I. Stoica, and D. Song, "Scaling up Trustless DNN Inference with Zero-Knowledge Proofs," ICLR 2023 Workshop on Trustworthy and Reliable Large-Scale Machine Learning Models, 2023.</w:t>
      </w:r>
    </w:p>
    <w:p>
      <w:pPr>
        <w:spacing w:after="80"/>
        <w:ind w:left="360" w:hanging="360"/>
      </w:pPr>
      <w:r>
        <w:rPr>
          <w:rFonts w:ascii="Times New Roman" w:cs="Times New Roman" w:eastAsia="Times New Roman" w:hAnsi="Times New Roman"/>
          <w:color w:val="000000"/>
          <w:sz w:val="20"/>
          <w:szCs w:val="20"/>
        </w:rPr>
        <w:t xml:space="preserve">[5] Y. Liu, L. Guo, and H. Chen, "zkML: Privacy-Preserving Machine Learning Auditing for Financial Models," arXiv:2312.09543, Dec. 2023.</w:t>
      </w:r>
    </w:p>
    <w:p>
      <w:pPr>
        <w:spacing w:after="80"/>
        <w:ind w:left="360" w:hanging="360"/>
      </w:pPr>
      <w:r>
        <w:rPr>
          <w:rFonts w:ascii="Times New Roman" w:cs="Times New Roman" w:eastAsia="Times New Roman" w:hAnsi="Times New Roman"/>
          <w:color w:val="000000"/>
          <w:sz w:val="20"/>
          <w:szCs w:val="20"/>
        </w:rPr>
        <w:t xml:space="preserve">[6] M. Feldman, S. A. Friedler, J. Moeller, C. Scheidegger, and S. Venkatasubramanian, "Certifying and Removing Disparate Impact," in Proc. KDD 2015, pp. 259–268.</w:t>
      </w:r>
    </w:p>
    <w:p>
      <w:pPr>
        <w:spacing w:after="80"/>
        <w:ind w:left="360" w:hanging="360"/>
      </w:pPr>
      <w:r>
        <w:rPr>
          <w:rFonts w:ascii="Times New Roman" w:cs="Times New Roman" w:eastAsia="Times New Roman" w:hAnsi="Times New Roman"/>
          <w:color w:val="000000"/>
          <w:sz w:val="20"/>
          <w:szCs w:val="20"/>
        </w:rPr>
        <w:t xml:space="preserve">[7] S. Kotsantonis and G. Serafeim, "4 Things No One Will Tell You About ESG Data," Journal of Applied Corporate Finance, vol. 31, no. 2, pp. 50–58, 2019.</w:t>
      </w:r>
    </w:p>
    <w:p>
      <w:pPr>
        <w:spacing w:after="80"/>
        <w:ind w:left="360" w:hanging="360"/>
      </w:pPr>
      <w:r>
        <w:rPr>
          <w:rFonts w:ascii="Times New Roman" w:cs="Times New Roman" w:eastAsia="Times New Roman" w:hAnsi="Times New Roman"/>
          <w:color w:val="000000"/>
          <w:sz w:val="20"/>
          <w:szCs w:val="20"/>
        </w:rPr>
        <w:t xml:space="preserve">[8] J. Gama, I. Žliobaitė, A. Bifet, M. Pechenizkiy, and A. Bouchachia, "A Survey on Concept Drift Adaptation," ACM Computing Surveys, vol. 46, no. 4, pp. 1–37, 2014.</w:t>
      </w:r>
    </w:p>
    <w:p>
      <w:pPr>
        <w:spacing w:after="80"/>
        <w:ind w:left="360" w:hanging="360"/>
      </w:pPr>
      <w:r>
        <w:rPr>
          <w:rFonts w:ascii="Times New Roman" w:cs="Times New Roman" w:eastAsia="Times New Roman" w:hAnsi="Times New Roman"/>
          <w:color w:val="000000"/>
          <w:sz w:val="20"/>
          <w:szCs w:val="20"/>
        </w:rPr>
        <w:t xml:space="preserve">[9] European Parliament and Council of the EU, "Regulation (EU) 2024/1689 — AI Act," Official Journal of the European Union, 2024.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center"/>
    </w:pPr>
    <w:r>
      <w:rPr>
        <w:rFonts w:ascii="Times New Roman" w:cs="Times New Roman" w:eastAsia="Times New Roman" w:hAnsi="Times New Roman"/>
        <w:color w:val="444444"/>
        <w:sz w:val="18"/>
        <w:szCs w:val="18"/>
      </w:rPr>
      <w:t xml:space="preserve">Module: AI, Power &amp; Responsibility — Governing Intelligent Systems for Sustainability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pPr>
      <w:spacing w:after="8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1af910c66e4b72be2709a22dbfbca1ecaaa9fb.png"/><Relationship Id="rId10" Type="http://schemas.openxmlformats.org/officeDocument/2006/relationships/image" Target="media/2c73a04a5d73f43a0f8b295c57c728f5fb297e61.png"/><Relationship Id="rId11" Type="http://schemas.openxmlformats.org/officeDocument/2006/relationships/image" Target="media/6f923d852668efab36ba4538fe4600eace6bd450.png"/><Relationship Id="rId12" Type="http://schemas.openxmlformats.org/officeDocument/2006/relationships/image" Target="media/bd39470f68273dd587c2ffdfbb5d1843f6d0d0f3.png"/><Relationship Id="rId13" Type="http://schemas.openxmlformats.org/officeDocument/2006/relationships/image" Target="media/86649ca298837ecb0ff684a050a834f10abedb5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2026-06-29T22:05:42.195Z</dcterms:created>
  <dcterms:modified xsi:type="dcterms:W3CDTF">2026-06-29T22:05:42.204Z</dcterms:modified>
</cp:coreProperties>
</file>

<file path=docProps/custom.xml><?xml version="1.0" encoding="utf-8"?>
<Properties xmlns="http://schemas.openxmlformats.org/officeDocument/2006/custom-properties" xmlns:vt="http://schemas.openxmlformats.org/officeDocument/2006/docPropsVTypes"/>
</file>