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D917" w14:textId="09C8FC94" w:rsidR="001A567F" w:rsidRPr="001A567F" w:rsidRDefault="001A567F" w:rsidP="001A567F">
      <w:pPr>
        <w:rPr>
          <w:rStyle w:val="IntenseReference"/>
        </w:rPr>
      </w:pPr>
      <w:r w:rsidRPr="001A567F">
        <w:rPr>
          <w:rStyle w:val="IntenseReference"/>
        </w:rPr>
        <w:t>MARGIN CALCULATION FORMULA FOR OPTIONS IN OUR CM FILE</w:t>
      </w:r>
    </w:p>
    <w:p w14:paraId="77FC1ED4" w14:textId="5143F132" w:rsidR="001A567F" w:rsidRPr="001A567F" w:rsidRDefault="001A567F" w:rsidP="001A567F">
      <w:pPr>
        <w:rPr>
          <w:b/>
          <w:bCs/>
        </w:rPr>
      </w:pPr>
      <w:r w:rsidRPr="001A567F">
        <w:rPr>
          <w:b/>
          <w:bCs/>
        </w:rPr>
        <w:t>1. Pure Option Buying (Long Call / Long Put)</w:t>
      </w:r>
    </w:p>
    <w:p w14:paraId="1E3790EC" w14:textId="77777777" w:rsidR="001A567F" w:rsidRPr="001A567F" w:rsidRDefault="001A567F" w:rsidP="001A567F">
      <w:r w:rsidRPr="001A567F">
        <w:t>Brokers do not charge SPAN or Exposure for buying options because your risk is strictly limited to the premium you pay. The capital required is exactly the cost of the trade.</w:t>
      </w:r>
    </w:p>
    <w:p w14:paraId="54BF6268" w14:textId="77777777" w:rsidR="001A567F" w:rsidRPr="001A567F" w:rsidRDefault="001A567F" w:rsidP="001A567F">
      <w:pPr>
        <w:numPr>
          <w:ilvl w:val="0"/>
          <w:numId w:val="1"/>
        </w:numPr>
      </w:pPr>
      <w:r w:rsidRPr="001A567F">
        <w:rPr>
          <w:b/>
          <w:bCs/>
        </w:rPr>
        <w:t>Formula:</w:t>
      </w:r>
      <w:r w:rsidRPr="001A567F">
        <w:t xml:space="preserve"> Option Premium × Lot Size</w:t>
      </w:r>
    </w:p>
    <w:p w14:paraId="4D2F2438" w14:textId="77777777" w:rsidR="001A567F" w:rsidRPr="001A567F" w:rsidRDefault="001A567F" w:rsidP="001A567F">
      <w:pPr>
        <w:numPr>
          <w:ilvl w:val="0"/>
          <w:numId w:val="1"/>
        </w:numPr>
      </w:pPr>
      <w:r w:rsidRPr="001A567F">
        <w:rPr>
          <w:i/>
          <w:iCs/>
        </w:rPr>
        <w:t>Example (Nifty 24550 CE @ ₹230):</w:t>
      </w:r>
      <w:r w:rsidRPr="001A567F">
        <w:t xml:space="preserve"> 230 × 65 = ₹14,950</w:t>
      </w:r>
    </w:p>
    <w:p w14:paraId="248D5C86" w14:textId="77777777" w:rsidR="001A567F" w:rsidRPr="001A567F" w:rsidRDefault="001A567F" w:rsidP="001A567F">
      <w:r w:rsidRPr="001A567F">
        <w:pict w14:anchorId="30013218">
          <v:rect id="_x0000_i1043" style="width:0;height:1.5pt" o:hralign="center" o:hrstd="t" o:hr="t" fillcolor="#a0a0a0" stroked="f"/>
        </w:pict>
      </w:r>
    </w:p>
    <w:p w14:paraId="5E2354E6" w14:textId="77777777" w:rsidR="001A567F" w:rsidRPr="001A567F" w:rsidRDefault="001A567F" w:rsidP="001A567F">
      <w:pPr>
        <w:rPr>
          <w:b/>
          <w:bCs/>
        </w:rPr>
      </w:pPr>
      <w:r w:rsidRPr="001A567F">
        <w:rPr>
          <w:b/>
          <w:bCs/>
        </w:rPr>
        <w:t>2. Naked Option Selling (Short Call / Short Put)</w:t>
      </w:r>
    </w:p>
    <w:p w14:paraId="0C7CDBB1" w14:textId="77777777" w:rsidR="001A567F" w:rsidRPr="001A567F" w:rsidRDefault="001A567F" w:rsidP="001A567F">
      <w:r w:rsidRPr="001A567F">
        <w:t>Because naked selling carries theoretically unlimited risk, brokers charge a dynamic percentage (SPAN + Exposure) against the total value of the underlying index contract.</w:t>
      </w:r>
    </w:p>
    <w:p w14:paraId="2D04CA80" w14:textId="77777777" w:rsidR="001A567F" w:rsidRPr="001A567F" w:rsidRDefault="001A567F" w:rsidP="001A567F">
      <w:pPr>
        <w:numPr>
          <w:ilvl w:val="0"/>
          <w:numId w:val="2"/>
        </w:numPr>
      </w:pPr>
      <w:r w:rsidRPr="001A567F">
        <w:rPr>
          <w:b/>
          <w:bCs/>
        </w:rPr>
        <w:t>Step 1:</w:t>
      </w:r>
      <w:r w:rsidRPr="001A567F">
        <w:t xml:space="preserve"> Calculate Contract Value = Underlying Spot Price × Lot Size</w:t>
      </w:r>
    </w:p>
    <w:p w14:paraId="2BD968FE" w14:textId="77777777" w:rsidR="001A567F" w:rsidRPr="001A567F" w:rsidRDefault="001A567F" w:rsidP="001A567F">
      <w:pPr>
        <w:numPr>
          <w:ilvl w:val="0"/>
          <w:numId w:val="2"/>
        </w:numPr>
      </w:pPr>
      <w:r w:rsidRPr="001A567F">
        <w:rPr>
          <w:b/>
          <w:bCs/>
        </w:rPr>
        <w:t>Step 2:</w:t>
      </w:r>
      <w:r w:rsidRPr="001A567F">
        <w:t xml:space="preserve"> Apply Exchange Rates = Contract Value × (SPAN Rate % + Exposure Rate %)</w:t>
      </w:r>
    </w:p>
    <w:p w14:paraId="4E9D9F9B" w14:textId="77777777" w:rsidR="001A567F" w:rsidRPr="001A567F" w:rsidRDefault="001A567F" w:rsidP="001A567F">
      <w:pPr>
        <w:numPr>
          <w:ilvl w:val="0"/>
          <w:numId w:val="2"/>
        </w:numPr>
      </w:pPr>
      <w:r w:rsidRPr="001A567F">
        <w:rPr>
          <w:i/>
          <w:iCs/>
        </w:rPr>
        <w:t>Example (Nifty Spot 24330, 10% SPAN, 2% Exposure):</w:t>
      </w:r>
      <w:r w:rsidRPr="001A567F">
        <w:t xml:space="preserve"> (24330 × 65) × 12% = ₹1,89,774</w:t>
      </w:r>
    </w:p>
    <w:p w14:paraId="1000D427" w14:textId="77777777" w:rsidR="001A567F" w:rsidRPr="001A567F" w:rsidRDefault="001A567F" w:rsidP="001A567F">
      <w:r w:rsidRPr="001A567F">
        <w:pict w14:anchorId="38EB8A47">
          <v:rect id="_x0000_i1044" style="width:0;height:1.5pt" o:hralign="center" o:hrstd="t" o:hr="t" fillcolor="#a0a0a0" stroked="f"/>
        </w:pict>
      </w:r>
    </w:p>
    <w:p w14:paraId="0AD7A3A7" w14:textId="77777777" w:rsidR="001A567F" w:rsidRPr="001A567F" w:rsidRDefault="001A567F" w:rsidP="001A567F">
      <w:pPr>
        <w:rPr>
          <w:b/>
          <w:bCs/>
        </w:rPr>
      </w:pPr>
      <w:r w:rsidRPr="001A567F">
        <w:rPr>
          <w:b/>
          <w:bCs/>
        </w:rPr>
        <w:t>3. Hedged Option Selling (Spreads / Iron Condors)</w:t>
      </w:r>
    </w:p>
    <w:p w14:paraId="0DADFC16" w14:textId="77777777" w:rsidR="001A567F" w:rsidRPr="001A567F" w:rsidRDefault="001A567F" w:rsidP="001A567F">
      <w:r w:rsidRPr="001A567F">
        <w:t>When you pair a SELL leg with a BUY leg (e.g., selling a 24300 PE and buying a 23800 PE), the clearinghouse recognizes that your maximum loss is strictly capped at the distance between the strikes. Therefore, the massive SPAN requirement is collapsed down to just the Maximum Risk plus an Exposure buffer.</w:t>
      </w:r>
    </w:p>
    <w:p w14:paraId="66AC973B" w14:textId="77777777" w:rsidR="001A567F" w:rsidRPr="001A567F" w:rsidRDefault="001A567F" w:rsidP="001A567F">
      <w:pPr>
        <w:numPr>
          <w:ilvl w:val="0"/>
          <w:numId w:val="3"/>
        </w:numPr>
      </w:pPr>
      <w:r w:rsidRPr="001A567F">
        <w:rPr>
          <w:b/>
          <w:bCs/>
        </w:rPr>
        <w:t>Step 1:</w:t>
      </w:r>
      <w:r w:rsidRPr="001A567F">
        <w:t xml:space="preserve"> Calculate Strike Distance = Absolute Value of (Sell Strike − Buy Strike)</w:t>
      </w:r>
    </w:p>
    <w:p w14:paraId="063297F7" w14:textId="77777777" w:rsidR="001A567F" w:rsidRPr="001A567F" w:rsidRDefault="001A567F" w:rsidP="001A567F">
      <w:pPr>
        <w:numPr>
          <w:ilvl w:val="0"/>
          <w:numId w:val="3"/>
        </w:numPr>
      </w:pPr>
      <w:r w:rsidRPr="001A567F">
        <w:rPr>
          <w:b/>
          <w:bCs/>
        </w:rPr>
        <w:t>Step 2:</w:t>
      </w:r>
      <w:r w:rsidRPr="001A567F">
        <w:t xml:space="preserve"> Calculate Max Risk = Strike Distance × Lot Size</w:t>
      </w:r>
    </w:p>
    <w:p w14:paraId="5DFC96ED" w14:textId="77777777" w:rsidR="001A567F" w:rsidRPr="001A567F" w:rsidRDefault="001A567F" w:rsidP="001A567F">
      <w:pPr>
        <w:numPr>
          <w:ilvl w:val="0"/>
          <w:numId w:val="3"/>
        </w:numPr>
      </w:pPr>
      <w:r w:rsidRPr="001A567F">
        <w:rPr>
          <w:b/>
          <w:bCs/>
        </w:rPr>
        <w:t>Step 3:</w:t>
      </w:r>
      <w:r w:rsidRPr="001A567F">
        <w:t xml:space="preserve"> Calculate Exposure Buffer = Contract Value × Exposure Rate %</w:t>
      </w:r>
    </w:p>
    <w:p w14:paraId="3E36E4C7" w14:textId="77777777" w:rsidR="001A567F" w:rsidRPr="001A567F" w:rsidRDefault="001A567F" w:rsidP="001A567F">
      <w:pPr>
        <w:numPr>
          <w:ilvl w:val="0"/>
          <w:numId w:val="3"/>
        </w:numPr>
      </w:pPr>
      <w:r w:rsidRPr="001A567F">
        <w:rPr>
          <w:b/>
          <w:bCs/>
        </w:rPr>
        <w:t>Step 4:</w:t>
      </w:r>
      <w:r w:rsidRPr="001A567F">
        <w:t xml:space="preserve"> Calculate Total Hedge Capital = Max Risk + Exposure Buffer + Total Premium Paid for </w:t>
      </w:r>
      <w:proofErr w:type="spellStart"/>
      <w:r w:rsidRPr="001A567F">
        <w:t>Buy</w:t>
      </w:r>
      <w:proofErr w:type="spellEnd"/>
      <w:r w:rsidRPr="001A567F">
        <w:t xml:space="preserve"> Hedges</w:t>
      </w:r>
    </w:p>
    <w:p w14:paraId="5AF38899" w14:textId="77777777" w:rsidR="001A567F" w:rsidRPr="001A567F" w:rsidRDefault="001A567F" w:rsidP="001A567F">
      <w:pPr>
        <w:numPr>
          <w:ilvl w:val="0"/>
          <w:numId w:val="3"/>
        </w:numPr>
      </w:pPr>
      <w:r w:rsidRPr="001A567F">
        <w:rPr>
          <w:i/>
          <w:iCs/>
        </w:rPr>
        <w:t>Example (500-point spread):</w:t>
      </w:r>
      <w:r w:rsidRPr="001A567F">
        <w:t xml:space="preserve"> (500 × 65) + ~₹31,000 Exposure + ₹4,900 Buy Premiums = ~₹68,400</w:t>
      </w:r>
    </w:p>
    <w:p w14:paraId="4BCC3B69" w14:textId="77777777" w:rsidR="001A567F" w:rsidRPr="001A567F" w:rsidRDefault="001A567F" w:rsidP="001A567F">
      <w:r w:rsidRPr="001A567F">
        <w:pict w14:anchorId="3F248B2D">
          <v:rect id="_x0000_i1045" style="width:0;height:1.5pt" o:hralign="center" o:hrstd="t" o:hr="t" fillcolor="#a0a0a0" stroked="f"/>
        </w:pict>
      </w:r>
    </w:p>
    <w:p w14:paraId="750FFF36" w14:textId="77777777" w:rsidR="001A567F" w:rsidRPr="001A567F" w:rsidRDefault="001A567F" w:rsidP="001A567F">
      <w:pPr>
        <w:rPr>
          <w:b/>
          <w:bCs/>
        </w:rPr>
      </w:pPr>
      <w:r w:rsidRPr="001A567F">
        <w:rPr>
          <w:rFonts w:ascii="Segoe UI Emoji" w:hAnsi="Segoe UI Emoji" w:cs="Segoe UI Emoji"/>
          <w:b/>
          <w:bCs/>
        </w:rPr>
        <w:t>⚡</w:t>
      </w:r>
      <w:r w:rsidRPr="001A567F">
        <w:rPr>
          <w:b/>
          <w:bCs/>
        </w:rPr>
        <w:t xml:space="preserve"> The Expiry Day Rule (SEBI Regulation)</w:t>
      </w:r>
    </w:p>
    <w:p w14:paraId="01BEB32E" w14:textId="77777777" w:rsidR="001A567F" w:rsidRPr="001A567F" w:rsidRDefault="001A567F" w:rsidP="001A567F">
      <w:r w:rsidRPr="001A567F">
        <w:t xml:space="preserve">Per SEBI's recent rules, an </w:t>
      </w:r>
      <w:r w:rsidRPr="001A567F">
        <w:rPr>
          <w:b/>
          <w:bCs/>
        </w:rPr>
        <w:t>Additional 2% Extreme Loss Margin (ELM)</w:t>
      </w:r>
      <w:r w:rsidRPr="001A567F">
        <w:t xml:space="preserve"> is applied to all </w:t>
      </w:r>
      <w:r w:rsidRPr="001A567F">
        <w:rPr>
          <w:i/>
          <w:iCs/>
        </w:rPr>
        <w:t>sold</w:t>
      </w:r>
      <w:r w:rsidRPr="001A567F">
        <w:t xml:space="preserve"> index options on their day of expiry to account for massive intraday volatility spikes.</w:t>
      </w:r>
    </w:p>
    <w:p w14:paraId="0BECA93B" w14:textId="77777777" w:rsidR="001A567F" w:rsidRPr="001A567F" w:rsidRDefault="001A567F" w:rsidP="001A567F">
      <w:pPr>
        <w:numPr>
          <w:ilvl w:val="0"/>
          <w:numId w:val="4"/>
        </w:numPr>
      </w:pPr>
      <w:r w:rsidRPr="001A567F">
        <w:rPr>
          <w:b/>
          <w:bCs/>
        </w:rPr>
        <w:lastRenderedPageBreak/>
        <w:t>The Math:</w:t>
      </w:r>
      <w:r w:rsidRPr="001A567F">
        <w:t xml:space="preserve"> Add + 2% to your total SPAN + Exposure rate.</w:t>
      </w:r>
    </w:p>
    <w:p w14:paraId="1124F4C9" w14:textId="77777777" w:rsidR="001A567F" w:rsidRPr="001A567F" w:rsidRDefault="001A567F" w:rsidP="001A567F">
      <w:pPr>
        <w:numPr>
          <w:ilvl w:val="0"/>
          <w:numId w:val="4"/>
        </w:numPr>
      </w:pPr>
      <w:r w:rsidRPr="001A567F">
        <w:rPr>
          <w:b/>
          <w:bCs/>
        </w:rPr>
        <w:t>The Effect:</w:t>
      </w:r>
      <w:r w:rsidRPr="001A567F">
        <w:t xml:space="preserve"> This roughly acts as a </w:t>
      </w:r>
      <w:r w:rsidRPr="001A567F">
        <w:rPr>
          <w:b/>
          <w:bCs/>
        </w:rPr>
        <w:t>~1.15x multiplier</w:t>
      </w:r>
      <w:r w:rsidRPr="001A567F">
        <w:t xml:space="preserve"> on the normal required margin (e.g., 12% normal rate becomes 14% on expiry day).</w:t>
      </w:r>
    </w:p>
    <w:p w14:paraId="4145E388" w14:textId="77777777" w:rsidR="001A567F" w:rsidRDefault="001A567F"/>
    <w:sectPr w:rsidR="001A5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3F05"/>
    <w:multiLevelType w:val="multilevel"/>
    <w:tmpl w:val="B91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D5793"/>
    <w:multiLevelType w:val="multilevel"/>
    <w:tmpl w:val="CC0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73373"/>
    <w:multiLevelType w:val="multilevel"/>
    <w:tmpl w:val="19CA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A3999"/>
    <w:multiLevelType w:val="multilevel"/>
    <w:tmpl w:val="B386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681934">
    <w:abstractNumId w:val="2"/>
  </w:num>
  <w:num w:numId="2" w16cid:durableId="1600066859">
    <w:abstractNumId w:val="0"/>
  </w:num>
  <w:num w:numId="3" w16cid:durableId="378554607">
    <w:abstractNumId w:val="3"/>
  </w:num>
  <w:num w:numId="4" w16cid:durableId="760760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7F"/>
    <w:rsid w:val="001A567F"/>
    <w:rsid w:val="00DA1D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3C8C"/>
  <w15:chartTrackingRefBased/>
  <w15:docId w15:val="{1DEEF254-6189-4FFB-8586-46134D88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67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A567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A567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A5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7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A567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A567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A56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6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7F"/>
    <w:rPr>
      <w:rFonts w:eastAsiaTheme="majorEastAsia" w:cstheme="majorBidi"/>
      <w:color w:val="272727" w:themeColor="text1" w:themeTint="D8"/>
    </w:rPr>
  </w:style>
  <w:style w:type="paragraph" w:styleId="Title">
    <w:name w:val="Title"/>
    <w:basedOn w:val="Normal"/>
    <w:next w:val="Normal"/>
    <w:link w:val="TitleChar"/>
    <w:uiPriority w:val="10"/>
    <w:qFormat/>
    <w:rsid w:val="001A567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A567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A567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A567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A567F"/>
    <w:pPr>
      <w:spacing w:before="160"/>
      <w:jc w:val="center"/>
    </w:pPr>
    <w:rPr>
      <w:i/>
      <w:iCs/>
      <w:color w:val="404040" w:themeColor="text1" w:themeTint="BF"/>
    </w:rPr>
  </w:style>
  <w:style w:type="character" w:customStyle="1" w:styleId="QuoteChar">
    <w:name w:val="Quote Char"/>
    <w:basedOn w:val="DefaultParagraphFont"/>
    <w:link w:val="Quote"/>
    <w:uiPriority w:val="29"/>
    <w:rsid w:val="001A567F"/>
    <w:rPr>
      <w:i/>
      <w:iCs/>
      <w:color w:val="404040" w:themeColor="text1" w:themeTint="BF"/>
    </w:rPr>
  </w:style>
  <w:style w:type="paragraph" w:styleId="ListParagraph">
    <w:name w:val="List Paragraph"/>
    <w:basedOn w:val="Normal"/>
    <w:uiPriority w:val="34"/>
    <w:qFormat/>
    <w:rsid w:val="001A567F"/>
    <w:pPr>
      <w:ind w:left="720"/>
      <w:contextualSpacing/>
    </w:pPr>
  </w:style>
  <w:style w:type="character" w:styleId="IntenseEmphasis">
    <w:name w:val="Intense Emphasis"/>
    <w:basedOn w:val="DefaultParagraphFont"/>
    <w:uiPriority w:val="21"/>
    <w:qFormat/>
    <w:rsid w:val="001A567F"/>
    <w:rPr>
      <w:i/>
      <w:iCs/>
      <w:color w:val="2F5496" w:themeColor="accent1" w:themeShade="BF"/>
    </w:rPr>
  </w:style>
  <w:style w:type="paragraph" w:styleId="IntenseQuote">
    <w:name w:val="Intense Quote"/>
    <w:basedOn w:val="Normal"/>
    <w:next w:val="Normal"/>
    <w:link w:val="IntenseQuoteChar"/>
    <w:uiPriority w:val="30"/>
    <w:qFormat/>
    <w:rsid w:val="001A5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67F"/>
    <w:rPr>
      <w:i/>
      <w:iCs/>
      <w:color w:val="2F5496" w:themeColor="accent1" w:themeShade="BF"/>
    </w:rPr>
  </w:style>
  <w:style w:type="character" w:styleId="IntenseReference">
    <w:name w:val="Intense Reference"/>
    <w:basedOn w:val="DefaultParagraphFont"/>
    <w:uiPriority w:val="32"/>
    <w:qFormat/>
    <w:rsid w:val="001A5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296</Words>
  <Characters>1688</Characters>
  <Application>Microsoft Office Word</Application>
  <DocSecurity>0</DocSecurity>
  <Lines>14</Lines>
  <Paragraphs>3</Paragraphs>
  <ScaleCrop>false</ScaleCrop>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YogiGuru Saugaato @ SpiritualMentors</dc:creator>
  <cp:keywords/>
  <dc:description/>
  <cp:lastModifiedBy>YogiGuru Saugaato @ SpiritualMentors</cp:lastModifiedBy>
  <cp:revision>1</cp:revision>
  <dcterms:created xsi:type="dcterms:W3CDTF">2026-05-07T07:36:00Z</dcterms:created>
  <dcterms:modified xsi:type="dcterms:W3CDTF">2026-05-07T07:37:00Z</dcterms:modified>
</cp:coreProperties>
</file>