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ind w:firstLine="0"/>
        <w:jc w:val="center"/>
      </w:pPr>
      <w:r>
        <w:rPr>
          <w:rFonts w:ascii="Times New Roman" w:hAnsi="Times New Roman"/>
          <w:b w:val="0"/>
          <w:i w:val="0"/>
          <w:sz w:val="24"/>
        </w:rPr>
        <w:t>A</w:t>
      </w:r>
    </w:p>
    <w:p>
      <w:pPr>
        <w:spacing w:after="80" w:line="252" w:lineRule="auto"/>
        <w:ind w:firstLine="0"/>
        <w:jc w:val="center"/>
      </w:pPr>
      <w:r>
        <w:rPr>
          <w:rFonts w:ascii="Times New Roman" w:hAnsi="Times New Roman"/>
          <w:b w:val="0"/>
          <w:i w:val="0"/>
          <w:sz w:val="28"/>
        </w:rPr>
        <w:t>Case Report</w:t>
      </w:r>
    </w:p>
    <w:p>
      <w:pPr>
        <w:spacing w:after="160" w:line="252" w:lineRule="auto"/>
        <w:ind w:firstLine="0"/>
        <w:jc w:val="center"/>
      </w:pPr>
      <w:r>
        <w:rPr>
          <w:rFonts w:ascii="Times New Roman" w:hAnsi="Times New Roman"/>
          <w:b w:val="0"/>
          <w:i w:val="0"/>
          <w:sz w:val="28"/>
        </w:rPr>
        <w:t>on</w:t>
      </w:r>
    </w:p>
    <w:p>
      <w:pPr>
        <w:spacing w:after="440" w:line="252" w:lineRule="auto"/>
        <w:ind w:firstLine="0"/>
        <w:jc w:val="center"/>
      </w:pPr>
      <w:r>
        <w:rPr>
          <w:rFonts w:ascii="Times New Roman" w:hAnsi="Times New Roman"/>
          <w:b/>
          <w:i w:val="0"/>
          <w:sz w:val="30"/>
        </w:rPr>
        <w:t>PROCESS PLANNING FOR A MANUFACTURED COMPONENT</w:t>
      </w:r>
    </w:p>
    <w:p>
      <w:pPr>
        <w:spacing w:after="160" w:line="252" w:lineRule="auto"/>
        <w:ind w:firstLine="0"/>
        <w:jc w:val="center"/>
      </w:pPr>
      <w:r>
        <w:rPr>
          <w:rFonts w:ascii="Times New Roman" w:hAnsi="Times New Roman"/>
          <w:b w:val="0"/>
          <w:i w:val="0"/>
          <w:sz w:val="28"/>
        </w:rPr>
        <w:t>Submitted by</w:t>
      </w:r>
    </w:p>
    <w:p>
      <w:pPr>
        <w:spacing w:after="440" w:line="252" w:lineRule="auto"/>
        <w:ind w:firstLine="0"/>
        <w:jc w:val="center"/>
      </w:pPr>
      <w:r>
        <w:rPr>
          <w:rFonts w:ascii="Times New Roman" w:hAnsi="Times New Roman"/>
          <w:b/>
          <w:i w:val="0"/>
          <w:sz w:val="28"/>
        </w:rPr>
        <w:t>Hiwale Sattwik Vaijinath</w:t>
      </w:r>
    </w:p>
    <w:p>
      <w:pPr>
        <w:spacing w:after="160" w:line="252" w:lineRule="auto"/>
        <w:ind w:firstLine="0"/>
        <w:jc w:val="center"/>
      </w:pPr>
      <w:r>
        <w:rPr>
          <w:rFonts w:ascii="Times New Roman" w:hAnsi="Times New Roman"/>
          <w:b w:val="0"/>
          <w:i w:val="0"/>
          <w:sz w:val="28"/>
        </w:rPr>
        <w:t>Under the Guidance of</w:t>
      </w:r>
    </w:p>
    <w:p>
      <w:pPr>
        <w:spacing w:after="400" w:line="252" w:lineRule="auto"/>
        <w:ind w:firstLine="0"/>
        <w:jc w:val="center"/>
      </w:pPr>
      <w:r>
        <w:rPr>
          <w:rFonts w:ascii="Times New Roman" w:hAnsi="Times New Roman"/>
          <w:b/>
          <w:i w:val="0"/>
          <w:sz w:val="28"/>
        </w:rPr>
        <w:t>Prof. Y.L. Suryavanshi</w:t>
      </w:r>
    </w:p>
    <w:p>
      <w:pPr>
        <w:spacing w:after="160" w:line="252" w:lineRule="auto"/>
        <w:ind w:firstLine="0"/>
        <w:jc w:val="center"/>
      </w:pPr>
      <w:r>
        <w:rPr>
          <w:rFonts w:ascii="Times New Roman" w:hAnsi="Times New Roman"/>
          <w:b w:val="0"/>
          <w:i w:val="0"/>
          <w:sz w:val="28"/>
        </w:rPr>
        <w:t>In partial fulfilment of</w:t>
      </w:r>
    </w:p>
    <w:p>
      <w:pPr>
        <w:spacing w:after="320" w:line="252" w:lineRule="auto"/>
        <w:ind w:firstLine="0"/>
        <w:jc w:val="center"/>
      </w:pPr>
      <w:r>
        <w:rPr>
          <w:rFonts w:ascii="Times New Roman" w:hAnsi="Times New Roman"/>
          <w:b/>
          <w:i w:val="0"/>
          <w:sz w:val="28"/>
        </w:rPr>
        <w:t>B.Tech. in</w:t>
      </w:r>
    </w:p>
    <w:p>
      <w:pPr>
        <w:spacing w:after="400" w:line="252" w:lineRule="auto"/>
        <w:ind w:firstLine="0"/>
        <w:jc w:val="center"/>
      </w:pPr>
      <w:r>
        <w:rPr>
          <w:rFonts w:ascii="Times New Roman" w:hAnsi="Times New Roman"/>
          <w:b/>
          <w:i w:val="0"/>
          <w:sz w:val="28"/>
        </w:rPr>
        <w:t>(Electronics &amp; Telecommunications Engineering)</w:t>
      </w:r>
    </w:p>
    <w:p>
      <w:pPr>
        <w:spacing w:after="160" w:line="252" w:lineRule="auto"/>
        <w:ind w:firstLine="0"/>
        <w:jc w:val="center"/>
      </w:pPr>
      <w:r>
        <w:rPr>
          <w:rFonts w:ascii="Times New Roman" w:hAnsi="Times New Roman"/>
          <w:b w:val="0"/>
          <w:i w:val="0"/>
          <w:sz w:val="26"/>
        </w:rPr>
        <w:t>DR. BABASAHEB AMBEDKAR TECHNOLOGICAL UNIVERSITY,</w:t>
      </w:r>
    </w:p>
    <w:p>
      <w:pPr>
        <w:spacing w:after="200" w:line="252" w:lineRule="auto"/>
        <w:ind w:firstLine="0"/>
        <w:jc w:val="center"/>
      </w:pPr>
      <w:r>
        <w:rPr>
          <w:rFonts w:ascii="Times New Roman" w:hAnsi="Times New Roman"/>
          <w:b w:val="0"/>
          <w:i w:val="0"/>
          <w:sz w:val="26"/>
        </w:rPr>
        <w:t>LONERE (M.S.)</w:t>
      </w:r>
    </w:p>
    <w:p>
      <w:pPr>
        <w:spacing w:after="20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institute_logo.jpg"/>
                    <pic:cNvPicPr/>
                  </pic:nvPicPr>
                  <pic:blipFill>
                    <a:blip r:embed="rId9"/>
                    <a:stretch>
                      <a:fillRect/>
                    </a:stretch>
                  </pic:blipFill>
                  <pic:spPr>
                    <a:xfrm>
                      <a:off x="0" y="0"/>
                      <a:ext cx="1234440" cy="1234440"/>
                    </a:xfrm>
                    <a:prstGeom prst="rect"/>
                  </pic:spPr>
                </pic:pic>
              </a:graphicData>
            </a:graphic>
          </wp:inline>
        </w:drawing>
      </w:r>
    </w:p>
    <w:p>
      <w:pPr>
        <w:spacing w:after="140" w:line="252" w:lineRule="auto"/>
        <w:ind w:firstLine="0"/>
        <w:jc w:val="center"/>
      </w:pPr>
      <w:r>
        <w:rPr>
          <w:rFonts w:ascii="Times New Roman" w:hAnsi="Times New Roman"/>
          <w:b w:val="0"/>
          <w:i w:val="0"/>
          <w:sz w:val="26"/>
        </w:rPr>
        <w:t>Marathwada Shikshan Prasarak Mandal’s</w:t>
      </w:r>
    </w:p>
    <w:p>
      <w:pPr>
        <w:spacing w:after="140" w:line="252" w:lineRule="auto"/>
        <w:ind w:firstLine="0"/>
        <w:jc w:val="center"/>
      </w:pPr>
      <w:r>
        <w:rPr>
          <w:rFonts w:ascii="Times New Roman" w:hAnsi="Times New Roman"/>
          <w:b w:val="0"/>
          <w:i w:val="0"/>
          <w:sz w:val="26"/>
        </w:rPr>
        <w:t>Deogiri Institute of Engineering &amp; Management Studies,</w:t>
      </w:r>
    </w:p>
    <w:p>
      <w:pPr>
        <w:spacing w:after="140" w:line="252" w:lineRule="auto"/>
        <w:ind w:firstLine="0"/>
        <w:jc w:val="center"/>
      </w:pPr>
      <w:r>
        <w:rPr>
          <w:rFonts w:ascii="Times New Roman" w:hAnsi="Times New Roman"/>
          <w:b w:val="0"/>
          <w:i w:val="0"/>
          <w:sz w:val="26"/>
        </w:rPr>
        <w:t>Chhatrapati Sambhajinagar.</w:t>
      </w:r>
    </w:p>
    <w:p>
      <w:pPr>
        <w:spacing w:after="140" w:line="252" w:lineRule="auto"/>
        <w:ind w:firstLine="0"/>
        <w:jc w:val="center"/>
      </w:pPr>
      <w:r>
        <w:rPr>
          <w:rFonts w:ascii="Times New Roman" w:hAnsi="Times New Roman"/>
          <w:b/>
          <w:i w:val="0"/>
          <w:sz w:val="26"/>
        </w:rPr>
        <w:t>Department of Electronics &amp; Telecommunications Engineering,</w:t>
      </w:r>
    </w:p>
    <w:p>
      <w:pPr>
        <w:spacing w:after="140" w:line="252" w:lineRule="auto"/>
        <w:ind w:firstLine="0"/>
        <w:jc w:val="center"/>
      </w:pPr>
      <w:r>
        <w:rPr>
          <w:rFonts w:ascii="Times New Roman" w:hAnsi="Times New Roman"/>
          <w:b w:val="0"/>
          <w:i w:val="0"/>
          <w:sz w:val="26"/>
        </w:rPr>
        <w:t>Maharashtra, India.</w:t>
      </w:r>
    </w:p>
    <w:p>
      <w:pPr>
        <w:spacing w:after="0" w:line="252" w:lineRule="auto"/>
        <w:ind w:firstLine="0"/>
        <w:jc w:val="center"/>
      </w:pPr>
      <w:r>
        <w:rPr>
          <w:rFonts w:ascii="Times New Roman" w:hAnsi="Times New Roman"/>
          <w:b w:val="0"/>
          <w:i w:val="0"/>
          <w:sz w:val="26"/>
        </w:rPr>
        <w:t>2026-27</w:t>
      </w:r>
    </w:p>
    <w:p>
      <w:r>
        <w:br w:type="page"/>
      </w:r>
    </w:p>
    <w:p>
      <w:pPr>
        <w:spacing w:after="200" w:line="252" w:lineRule="auto"/>
        <w:ind w:firstLine="0"/>
        <w:jc w:val="center"/>
      </w:pPr>
      <w:r>
        <w:rPr>
          <w:rFonts w:ascii="Times New Roman" w:hAnsi="Times New Roman"/>
          <w:b/>
          <w:i w:val="0"/>
          <w:sz w:val="30"/>
        </w:rPr>
        <w:t>CONTENTS</w:t>
      </w:r>
    </w:p>
    <w:tbl>
      <w:tblPr>
        <w:tblW w:type="auto" w:w="0"/>
        <w:jc w:val="center"/>
        <w:tblLayout w:type="fixed"/>
        <w:tblLook w:firstColumn="1" w:firstRow="1" w:lastColumn="0" w:lastRow="0" w:noHBand="0" w:noVBand="1" w:val="04A0"/>
      </w:tblPr>
      <w:tblGrid>
        <w:gridCol w:w="3264"/>
        <w:gridCol w:w="3264"/>
        <w:gridCol w:w="3264"/>
      </w:tblGrid>
      <w:tr>
        <w:tc>
          <w:tcPr>
            <w:tcW w:type="dxa" w:w="1008"/>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SR.NO.</w:t>
            </w:r>
          </w:p>
        </w:tc>
        <w:tc>
          <w:tcPr>
            <w:tcW w:type="dxa" w:w="6840"/>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TOPIC</w:t>
            </w:r>
          </w:p>
        </w:tc>
        <w:tc>
          <w:tcPr>
            <w:tcW w:type="dxa" w:w="1440"/>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PAGE NO.</w:t>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1.</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INTRODUCTION</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1.1 Introduction</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1.2 Process Planning Concept</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2.</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BACKGROUND</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2.1 Problem Statement</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2.2 Component Description and Case Assumptions</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3.</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OBJECTIVES</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3.1 Objectives and Success Criteria</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4.</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METHODOLOGY / APPROACH</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4.1 Process Planning Method</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4.2 Data Collection and Assumptions</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5.</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IMPLEMENTATION</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5.1 Illustrative Manufactured Component</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5.2 Detailed Process Plan</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6.</w:t>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CONCLUSION AND FUTURE SCOPE</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6.1 Conclusion</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r>
        <w:tc>
          <w:tcPr>
            <w:tcW w:type="dxa" w:w="100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r>
          </w:p>
        </w:tc>
        <w:tc>
          <w:tcPr>
            <w:tcW w:type="dxa" w:w="68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6.2 Future Scope</w:t>
            </w:r>
          </w:p>
        </w:tc>
        <w:tc>
          <w:tcPr>
            <w:tcW w:type="dxa" w:w="144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r>
          </w:p>
        </w:tc>
      </w:tr>
    </w:tbl>
    <w:p>
      <w:r>
        <w:br w:type="page"/>
      </w:r>
    </w:p>
    <w:p>
      <w:pPr>
        <w:spacing w:after="240" w:line="252" w:lineRule="auto" w:before="40"/>
        <w:ind w:firstLine="0"/>
        <w:jc w:val="center"/>
      </w:pPr>
      <w:r>
        <w:rPr>
          <w:rFonts w:ascii="Times New Roman" w:hAnsi="Times New Roman"/>
          <w:b/>
          <w:i w:val="0"/>
          <w:sz w:val="32"/>
        </w:rPr>
        <w:t>1. Introduction</w:t>
      </w:r>
    </w:p>
    <w:p>
      <w:pPr>
        <w:spacing w:after="160" w:line="252" w:lineRule="auto" w:before="160"/>
        <w:ind w:firstLine="0"/>
      </w:pPr>
      <w:r>
        <w:rPr>
          <w:rFonts w:ascii="Times New Roman" w:hAnsi="Times New Roman"/>
          <w:b/>
          <w:i w:val="0"/>
          <w:sz w:val="28"/>
        </w:rPr>
        <w:t>1.1 Introduction</w:t>
      </w:r>
    </w:p>
    <w:p>
      <w:pPr>
        <w:spacing w:after="140" w:line="252" w:lineRule="auto"/>
        <w:ind w:firstLine="360"/>
      </w:pPr>
      <w:r>
        <w:rPr>
          <w:rFonts w:ascii="Times New Roman" w:hAnsi="Times New Roman"/>
          <w:b w:val="0"/>
          <w:i w:val="0"/>
          <w:sz w:val="24"/>
        </w:rPr>
        <w:t>Process planning is the systematic activity of converting a component drawing into a sequence of practical manufacturing operations. It defines the raw material, machines, cutting tools, fixtures, inspection points and operating order required to produce a component that satisfies its functional dimensions. For a manufactured component, the plan must achieve the required quality while avoiding unnecessary set-ups, handling and rework.</w:t>
      </w:r>
    </w:p>
    <w:p>
      <w:pPr>
        <w:spacing w:after="160" w:line="252" w:lineRule="auto"/>
        <w:ind w:firstLine="360"/>
      </w:pPr>
      <w:r>
        <w:rPr>
          <w:rFonts w:ascii="Times New Roman" w:hAnsi="Times New Roman"/>
          <w:b w:val="0"/>
          <w:i w:val="0"/>
          <w:sz w:val="24"/>
        </w:rPr>
        <w:t>This case study applies process planning to a machined flanged hub used in a shaft coupling. The component has turning, boring, keyway milling and bolt-circle drilling features. The study uses representative dimensions and a batch-production assumption to demonstrate how a clear route sheet can be prepared for workshop manufacture.</w:t>
      </w:r>
    </w:p>
    <w:p>
      <w:pPr>
        <w:spacing w:after="160" w:line="252" w:lineRule="auto" w:before="160"/>
        <w:ind w:firstLine="0"/>
      </w:pPr>
      <w:r>
        <w:rPr>
          <w:rFonts w:ascii="Times New Roman" w:hAnsi="Times New Roman"/>
          <w:b/>
          <w:i w:val="0"/>
          <w:sz w:val="28"/>
        </w:rPr>
        <w:t>1.2 Process Planning Concept</w:t>
      </w:r>
    </w:p>
    <w:p>
      <w:pPr>
        <w:spacing w:after="140" w:line="252" w:lineRule="auto"/>
        <w:ind w:firstLine="360"/>
      </w:pPr>
      <w:r>
        <w:rPr>
          <w:rFonts w:ascii="Times New Roman" w:hAnsi="Times New Roman"/>
          <w:b w:val="0"/>
          <w:i w:val="0"/>
          <w:sz w:val="24"/>
        </w:rPr>
        <w:t>A sound plan follows the principle of creating functional datums early and using them consistently. General material removal is performed before finishing. The bore and flange face are the principal functional datums of the selected hub, so they are completed in the turning set-up before the keyway and mounting holes are machined. This controls concentricity and reduces error transfer between operations.</w:t>
      </w:r>
    </w:p>
    <w:p>
      <w:r>
        <w:br w:type="page"/>
      </w:r>
    </w:p>
    <w:p>
      <w:pPr>
        <w:spacing w:after="240" w:line="252" w:lineRule="auto" w:before="40"/>
        <w:ind w:firstLine="0"/>
        <w:jc w:val="center"/>
      </w:pPr>
      <w:r>
        <w:rPr>
          <w:rFonts w:ascii="Times New Roman" w:hAnsi="Times New Roman"/>
          <w:b/>
          <w:i w:val="0"/>
          <w:sz w:val="32"/>
        </w:rPr>
        <w:t>2. Background</w:t>
      </w:r>
    </w:p>
    <w:p>
      <w:pPr>
        <w:spacing w:after="160" w:line="252" w:lineRule="auto" w:before="160"/>
        <w:ind w:firstLine="0"/>
      </w:pPr>
      <w:r>
        <w:rPr>
          <w:rFonts w:ascii="Times New Roman" w:hAnsi="Times New Roman"/>
          <w:b/>
          <w:i w:val="0"/>
          <w:sz w:val="28"/>
        </w:rPr>
        <w:t>2.1 Problem Statement</w:t>
      </w:r>
    </w:p>
    <w:p>
      <w:pPr>
        <w:spacing w:after="160" w:line="252" w:lineRule="auto"/>
        <w:ind w:firstLine="360"/>
      </w:pPr>
      <w:r>
        <w:rPr>
          <w:rFonts w:ascii="Times New Roman" w:hAnsi="Times New Roman"/>
          <w:b w:val="0"/>
          <w:i w:val="0"/>
          <w:sz w:val="24"/>
        </w:rPr>
        <w:t>The hub must fit a 30 mm shaft, transmit torque through an 8 mm key and align with a mating flange through six M8 mounting holes. If the bore is not concentric with the outside diameter, the rotating assembly may run out. If the keyway or bolt circle is misplaced, assembly becomes difficult and the component may fail to perform its intended function. The engineering problem is therefore to establish an economical and controlled route from steel bar stock to a finished, inspected hub.</w:t>
      </w:r>
    </w:p>
    <w:p>
      <w:pPr>
        <w:spacing w:after="160" w:line="252" w:lineRule="auto" w:before="160"/>
        <w:ind w:firstLine="0"/>
      </w:pPr>
      <w:r>
        <w:rPr>
          <w:rFonts w:ascii="Times New Roman" w:hAnsi="Times New Roman"/>
          <w:b/>
          <w:i w:val="0"/>
          <w:sz w:val="28"/>
        </w:rPr>
        <w:t>2.2 Component Description and Case Assumptions</w:t>
      </w:r>
    </w:p>
    <w:p>
      <w:pPr>
        <w:spacing w:after="160" w:line="252" w:lineRule="auto"/>
        <w:ind w:firstLine="360"/>
      </w:pPr>
      <w:r>
        <w:rPr>
          <w:rFonts w:ascii="Times New Roman" w:hAnsi="Times New Roman"/>
          <w:b w:val="0"/>
          <w:i w:val="0"/>
          <w:sz w:val="24"/>
        </w:rPr>
        <w:t>The selected product is a machined flanged hub made from normalized EN8/C45 steel. The study assumes an annual demand of 12,000 parts, produced in batches of 250. A CNC lathe and a vertical machining centre are available. The dimensions shown below are illustrative planning inputs and the approved engineering drawing remains the authority for manufacture.</w:t>
      </w:r>
    </w:p>
    <w:tbl>
      <w:tblPr>
        <w:tblW w:type="auto" w:w="0"/>
        <w:jc w:val="center"/>
        <w:tblLayout w:type="fixed"/>
        <w:tblLook w:firstColumn="1" w:firstRow="1" w:lastColumn="0" w:lastRow="0" w:noHBand="0" w:noVBand="1" w:val="04A0"/>
      </w:tblPr>
      <w:tblGrid>
        <w:gridCol w:w="3264"/>
        <w:gridCol w:w="3264"/>
        <w:gridCol w:w="3264"/>
      </w:tblGrid>
      <w:tr>
        <w:tc>
          <w:tcPr>
            <w:tcW w:type="dxa" w:w="2304"/>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Parameter</w:t>
            </w:r>
          </w:p>
        </w:tc>
        <w:tc>
          <w:tcPr>
            <w:tcW w:type="dxa" w:w="3384"/>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Assumed value</w:t>
            </w:r>
          </w:p>
        </w:tc>
        <w:tc>
          <w:tcPr>
            <w:tcW w:type="dxa" w:w="3600"/>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Purpose</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Product</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Machined flanged hub</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Illustrative manufactured component</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Starting stock</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90 mm diameter bar x 95 mm</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Allows facing and turning allowance</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Finished bore</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30 H7 through</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Functional shaft fit</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Keyway</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8 mm x 3.3 mm deep</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Torque transmission</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Bolt circle</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6 x M8 on 68 mm PCD</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Coupling attachment</w:t>
            </w:r>
          </w:p>
        </w:tc>
      </w:tr>
      <w:tr>
        <w:tc>
          <w:tcPr>
            <w:tcW w:type="dxa" w:w="2304"/>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Batch size</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250 pieces</w:t>
            </w:r>
          </w:p>
        </w:tc>
        <w:tc>
          <w:tcPr>
            <w:tcW w:type="dxa" w:w="3600"/>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Practical batch-production scenario</w:t>
            </w:r>
          </w:p>
        </w:tc>
      </w:tr>
    </w:tbl>
    <w:p>
      <w:r>
        <w:br w:type="page"/>
      </w:r>
    </w:p>
    <w:p>
      <w:pPr>
        <w:spacing w:after="240" w:line="252" w:lineRule="auto" w:before="40"/>
        <w:ind w:firstLine="0"/>
        <w:jc w:val="center"/>
      </w:pPr>
      <w:r>
        <w:rPr>
          <w:rFonts w:ascii="Times New Roman" w:hAnsi="Times New Roman"/>
          <w:b/>
          <w:i w:val="0"/>
          <w:sz w:val="32"/>
        </w:rPr>
        <w:t>3. Objectives</w:t>
      </w:r>
    </w:p>
    <w:p>
      <w:pPr>
        <w:spacing w:after="160" w:line="252" w:lineRule="auto" w:before="160"/>
        <w:ind w:firstLine="0"/>
      </w:pPr>
      <w:r>
        <w:rPr>
          <w:rFonts w:ascii="Times New Roman" w:hAnsi="Times New Roman"/>
          <w:b/>
          <w:i w:val="0"/>
          <w:sz w:val="28"/>
        </w:rPr>
        <w:t>3.1 Objectives and Success Criteria</w:t>
      </w:r>
    </w:p>
    <w:p>
      <w:pPr>
        <w:spacing w:after="40" w:line="252" w:lineRule="auto"/>
        <w:ind w:firstLine="360"/>
      </w:pPr>
      <w:r>
        <w:rPr>
          <w:rFonts w:ascii="Times New Roman" w:hAnsi="Times New Roman"/>
          <w:b w:val="0"/>
          <w:i w:val="0"/>
          <w:sz w:val="24"/>
        </w:rPr>
        <w:t>The main objectives of the case study are:</w:t>
      </w:r>
    </w:p>
    <w:p>
      <w:pPr>
        <w:spacing w:after="20" w:line="252" w:lineRule="auto"/>
        <w:ind w:firstLine="360"/>
      </w:pPr>
      <w:r>
        <w:rPr>
          <w:rFonts w:ascii="Times New Roman" w:hAnsi="Times New Roman"/>
          <w:b w:val="0"/>
          <w:i w:val="0"/>
          <w:sz w:val="24"/>
        </w:rPr>
        <w:t>• To select a logical manufacturing sequence for the flanged hub.</w:t>
      </w:r>
    </w:p>
    <w:p>
      <w:pPr>
        <w:spacing w:after="20" w:line="252" w:lineRule="auto"/>
        <w:ind w:firstLine="360"/>
      </w:pPr>
      <w:r>
        <w:rPr>
          <w:rFonts w:ascii="Times New Roman" w:hAnsi="Times New Roman"/>
          <w:b w:val="0"/>
          <w:i w:val="0"/>
          <w:sz w:val="24"/>
        </w:rPr>
        <w:t>• To establish Datum A as the finished flange face and Datum B as the finished bore axis.</w:t>
      </w:r>
    </w:p>
    <w:p>
      <w:pPr>
        <w:spacing w:after="20" w:line="252" w:lineRule="auto"/>
        <w:ind w:firstLine="360"/>
      </w:pPr>
      <w:r>
        <w:rPr>
          <w:rFonts w:ascii="Times New Roman" w:hAnsi="Times New Roman"/>
          <w:b w:val="0"/>
          <w:i w:val="0"/>
          <w:sz w:val="24"/>
        </w:rPr>
        <w:t>• To reduce machining set-ups by completing all rotational features in one lathe set-up.</w:t>
      </w:r>
    </w:p>
    <w:p>
      <w:pPr>
        <w:spacing w:after="20" w:line="252" w:lineRule="auto"/>
        <w:ind w:firstLine="360"/>
      </w:pPr>
      <w:r>
        <w:rPr>
          <w:rFonts w:ascii="Times New Roman" w:hAnsi="Times New Roman"/>
          <w:b w:val="0"/>
          <w:i w:val="0"/>
          <w:sz w:val="24"/>
        </w:rPr>
        <w:t>• To specify suitable machines, tools, fixtures and inspection methods.</w:t>
      </w:r>
    </w:p>
    <w:p>
      <w:pPr>
        <w:spacing w:after="20" w:line="252" w:lineRule="auto"/>
        <w:ind w:firstLine="360"/>
      </w:pPr>
      <w:r>
        <w:rPr>
          <w:rFonts w:ascii="Times New Roman" w:hAnsi="Times New Roman"/>
          <w:b w:val="0"/>
          <w:i w:val="0"/>
          <w:sz w:val="24"/>
        </w:rPr>
        <w:t>• To control the bore, keyway and bolt-circle features that affect assembly.</w:t>
      </w:r>
    </w:p>
    <w:p>
      <w:pPr>
        <w:spacing w:after="20" w:line="252" w:lineRule="auto"/>
        <w:ind w:firstLine="360"/>
      </w:pPr>
      <w:r>
        <w:rPr>
          <w:rFonts w:ascii="Times New Roman" w:hAnsi="Times New Roman"/>
          <w:b w:val="0"/>
          <w:i w:val="0"/>
          <w:sz w:val="24"/>
        </w:rPr>
        <w:t>• To prepare a route that can be used for batch production and quality records.</w:t>
      </w:r>
    </w:p>
    <w:p>
      <w:pPr>
        <w:spacing w:after="160" w:line="252" w:lineRule="auto"/>
        <w:ind w:firstLine="360"/>
      </w:pPr>
      <w:r>
        <w:rPr>
          <w:rFonts w:ascii="Times New Roman" w:hAnsi="Times New Roman"/>
          <w:b w:val="0"/>
          <w:i w:val="0"/>
          <w:sz w:val="24"/>
        </w:rPr>
        <w:t>The success criteria are that the bore achieves 30 H7, bore-to-outside-diameter runout is not greater than 0.03 mm, all sharp edges are removed and every batch has first-off and final inspection records.</w:t>
      </w:r>
    </w:p>
    <w:p>
      <w:r>
        <w:br w:type="page"/>
      </w:r>
    </w:p>
    <w:p>
      <w:pPr>
        <w:spacing w:after="240" w:line="252" w:lineRule="auto" w:before="40"/>
        <w:ind w:firstLine="0"/>
        <w:jc w:val="center"/>
      </w:pPr>
      <w:r>
        <w:rPr>
          <w:rFonts w:ascii="Times New Roman" w:hAnsi="Times New Roman"/>
          <w:b/>
          <w:i w:val="0"/>
          <w:sz w:val="32"/>
        </w:rPr>
        <w:t>4. Methodology</w:t>
      </w:r>
    </w:p>
    <w:p>
      <w:pPr>
        <w:spacing w:after="160" w:line="252" w:lineRule="auto" w:before="160"/>
        <w:ind w:firstLine="0"/>
      </w:pPr>
      <w:r>
        <w:rPr>
          <w:rFonts w:ascii="Times New Roman" w:hAnsi="Times New Roman"/>
          <w:b/>
          <w:i w:val="0"/>
          <w:sz w:val="28"/>
        </w:rPr>
        <w:t>4.1 Process Planning Method</w:t>
      </w:r>
    </w:p>
    <w:p>
      <w:pPr>
        <w:spacing w:after="160" w:line="252" w:lineRule="auto"/>
        <w:ind w:firstLine="360"/>
      </w:pPr>
      <w:r>
        <w:rPr>
          <w:rFonts w:ascii="Times New Roman" w:hAnsi="Times New Roman"/>
          <w:b w:val="0"/>
          <w:i w:val="0"/>
          <w:sz w:val="24"/>
        </w:rPr>
        <w:t>The planning approach starts by reviewing the drawing and identifying material, tolerances, surface finish and critical datums. The bar is cut oversize, then rough and finish machining is carried out on a CNC lathe. The finished bore locates the workpiece on an expanding mandrel in the vertical machining centre. The keyway, bolt circle and threads are then completed before deburring, washing and final inspection.</w:t>
      </w:r>
    </w:p>
    <w:p>
      <w:pPr>
        <w:spacing w:after="160" w:line="252" w:lineRule="auto" w:before="160"/>
        <w:ind w:firstLine="0"/>
      </w:pPr>
      <w:r>
        <w:rPr>
          <w:rFonts w:ascii="Times New Roman" w:hAnsi="Times New Roman"/>
          <w:b/>
          <w:i w:val="0"/>
          <w:sz w:val="28"/>
        </w:rPr>
        <w:t>4.2 Data Collection and Assumptions</w:t>
      </w:r>
    </w:p>
    <w:p>
      <w:pPr>
        <w:spacing w:after="160" w:line="252" w:lineRule="auto"/>
        <w:ind w:firstLine="360"/>
      </w:pPr>
      <w:r>
        <w:rPr>
          <w:rFonts w:ascii="Times New Roman" w:hAnsi="Times New Roman"/>
          <w:b w:val="0"/>
          <w:i w:val="0"/>
          <w:sz w:val="24"/>
        </w:rPr>
        <w:t>For production release, the planner would collect the approved drawing, material certificate, machine capability information, tool catalogues, gauge availability and expected batch quantity. In this academic case, representative machining data are used to show the process plan. The route is reviewed during first-off inspection and revised if dimensions or cycle time do not meet the requirement.</w:t>
      </w:r>
    </w:p>
    <w:p>
      <w:pPr>
        <w:spacing w:after="160" w:line="252" w:lineRule="auto"/>
        <w:ind w:firstLine="0"/>
        <w:jc w:val="center"/>
      </w:pPr>
      <w:r>
        <w:rPr>
          <w:rFonts w:ascii="Times New Roman" w:hAnsi="Times New Roman"/>
          <w:b/>
          <w:i w:val="0"/>
          <w:sz w:val="24"/>
        </w:rPr>
        <w:t>Process flow: Incoming material inspection -&gt; Saw cutting -&gt; CNC turning and boring -&gt; Mandrel locating -&gt; Keyway milling -&gt; PCD drilling and tapping -&gt; Deburring -&gt; Final inspection -&gt; Packing.</w:t>
      </w:r>
    </w:p>
    <w:p>
      <w:r>
        <w:br w:type="page"/>
      </w:r>
    </w:p>
    <w:p>
      <w:pPr>
        <w:spacing w:after="240" w:line="252" w:lineRule="auto" w:before="40"/>
        <w:ind w:firstLine="0"/>
        <w:jc w:val="center"/>
      </w:pPr>
      <w:r>
        <w:rPr>
          <w:rFonts w:ascii="Times New Roman" w:hAnsi="Times New Roman"/>
          <w:b/>
          <w:i w:val="0"/>
          <w:sz w:val="32"/>
        </w:rPr>
        <w:t>5. IMPLEMENTATION</w:t>
      </w:r>
    </w:p>
    <w:p>
      <w:pPr>
        <w:spacing w:after="160" w:line="252" w:lineRule="auto" w:before="160"/>
        <w:ind w:firstLine="0"/>
      </w:pPr>
      <w:r>
        <w:rPr>
          <w:rFonts w:ascii="Times New Roman" w:hAnsi="Times New Roman"/>
          <w:b/>
          <w:i w:val="0"/>
          <w:sz w:val="28"/>
        </w:rPr>
        <w:t>5.1 Illustrative Manufactured Component</w:t>
      </w:r>
    </w:p>
    <w:p>
      <w:pPr>
        <w:spacing w:after="160" w:line="252" w:lineRule="auto"/>
        <w:ind w:firstLine="360"/>
      </w:pPr>
      <w:r>
        <w:rPr>
          <w:rFonts w:ascii="Times New Roman" w:hAnsi="Times New Roman"/>
          <w:b w:val="0"/>
          <w:i w:val="0"/>
          <w:sz w:val="24"/>
        </w:rPr>
        <w:t>The flanged hub is made from a 90 mm diameter steel bar. The first machining set-up faces the flange side, rough turns the external diameters, drills the pilot hole and finishes the 30 H7 bore. Producing these rotating features in one chucking protects concentricity. The part is then mounted on an expanding mandrel through the finished bore, allowing the keyway and six-hole bolt circle to be positioned from the functional axis.</w:t>
      </w:r>
    </w:p>
    <w:p>
      <w:pPr>
        <w:spacing w:after="160" w:line="252" w:lineRule="auto" w:before="160"/>
        <w:ind w:firstLine="0"/>
      </w:pPr>
      <w:r>
        <w:rPr>
          <w:rFonts w:ascii="Times New Roman" w:hAnsi="Times New Roman"/>
          <w:b/>
          <w:i w:val="0"/>
          <w:sz w:val="28"/>
        </w:rPr>
        <w:t>5.2 Detailed Process Plan</w:t>
      </w:r>
    </w:p>
    <w:tbl>
      <w:tblPr>
        <w:tblW w:type="auto" w:w="0"/>
        <w:jc w:val="center"/>
        <w:tblLayout w:type="fixed"/>
        <w:tblLook w:firstColumn="1" w:firstRow="1" w:lastColumn="0" w:lastRow="0" w:noHBand="0" w:noVBand="1" w:val="04A0"/>
      </w:tblPr>
      <w:tblGrid>
        <w:gridCol w:w="3264"/>
        <w:gridCol w:w="3264"/>
        <w:gridCol w:w="3264"/>
      </w:tblGrid>
      <w:tr>
        <w:tc>
          <w:tcPr>
            <w:tcW w:type="dxa" w:w="2088"/>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Operation</w:t>
            </w:r>
          </w:p>
        </w:tc>
        <w:tc>
          <w:tcPr>
            <w:tcW w:type="dxa" w:w="3384"/>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Machine / tool</w:t>
            </w:r>
          </w:p>
        </w:tc>
        <w:tc>
          <w:tcPr>
            <w:tcW w:type="dxa" w:w="3816"/>
            <w:shd w:fill="D9E2F3"/>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Main instruction</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10 Receive stock</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Material inspection</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Check certificate, diameter and surface condition.</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20 Saw cut</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Automatic band saw</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Cut blank to 95 mm including allowance.</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30 Rough turn</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CNC lathe</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Face, rough turn ODs and pilot drill bore.</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40 Finish turn and bore</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CNC lathe, boring bar, reamer</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Finish flange face, ODs, length and 30 H7 bore.</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50 Mill keyway</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VMC, 8 mm end mill</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Locate on expanding mandrel; check width and depth.</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60 Drill and tap PCD</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VMC, drill and M8 tap</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Spot drill, drill 6.8 mm and tap six holes.</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70 Deburr and wash</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Deburring station</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Remove burrs from bore, keyway and threads.</w:t>
            </w:r>
          </w:p>
        </w:tc>
      </w:tr>
      <w:tr>
        <w:tc>
          <w:tcPr>
            <w:tcW w:type="dxa" w:w="2088"/>
            <w:vAlign w:val="center"/>
            <w:tcBorders>
              <w:top w:val="single" w:sz="4" w:color="000000"/>
              <w:left w:val="single" w:sz="4" w:color="000000"/>
              <w:bottom w:val="single" w:sz="4" w:color="000000"/>
              <w:right w:val="single" w:sz="4" w:color="000000"/>
            </w:tcBorders>
          </w:tcPr>
          <w:p>
            <w:pPr>
              <w:jc w:val="center"/>
            </w:pPr>
            <w:r>
              <w:rPr>
                <w:rFonts w:ascii="Times New Roman" w:hAnsi="Times New Roman"/>
                <w:b w:val="0"/>
                <w:i w:val="0"/>
                <w:sz w:val="24"/>
              </w:rPr>
              <w:t>80 Final inspection</w:t>
            </w:r>
          </w:p>
        </w:tc>
        <w:tc>
          <w:tcPr>
            <w:tcW w:type="dxa" w:w="3384"/>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Gauges / CMM</w:t>
            </w:r>
          </w:p>
        </w:tc>
        <w:tc>
          <w:tcPr>
            <w:tcW w:type="dxa" w:w="3816"/>
            <w:vAlign w:val="center"/>
            <w:tcBorders>
              <w:top w:val="single" w:sz="4" w:color="000000"/>
              <w:left w:val="single" w:sz="4" w:color="000000"/>
              <w:bottom w:val="single" w:sz="4" w:color="000000"/>
              <w:right w:val="single" w:sz="4" w:color="000000"/>
            </w:tcBorders>
          </w:tcPr>
          <w:p>
            <w:pPr>
              <w:jc w:val="left"/>
            </w:pPr>
            <w:r>
              <w:rPr>
                <w:rFonts w:ascii="Times New Roman" w:hAnsi="Times New Roman"/>
                <w:b w:val="0"/>
                <w:i w:val="0"/>
                <w:sz w:val="24"/>
              </w:rPr>
              <w:t>Verify runout, bore, keyway, PCD and appearance.</w:t>
            </w:r>
          </w:p>
        </w:tc>
      </w:tr>
    </w:tbl>
    <w:p>
      <w:r>
        <w:br w:type="page"/>
      </w:r>
    </w:p>
    <w:p>
      <w:pPr>
        <w:spacing w:after="240" w:line="252" w:lineRule="auto" w:before="40"/>
        <w:ind w:firstLine="0"/>
        <w:jc w:val="center"/>
      </w:pPr>
      <w:r>
        <w:rPr>
          <w:rFonts w:ascii="Times New Roman" w:hAnsi="Times New Roman"/>
          <w:b/>
          <w:i w:val="0"/>
          <w:sz w:val="32"/>
        </w:rPr>
        <w:t>6. Conclusion</w:t>
      </w:r>
    </w:p>
    <w:p>
      <w:pPr>
        <w:spacing w:after="160" w:line="252" w:lineRule="auto" w:before="160"/>
        <w:ind w:firstLine="0"/>
      </w:pPr>
      <w:r>
        <w:rPr>
          <w:rFonts w:ascii="Times New Roman" w:hAnsi="Times New Roman"/>
          <w:b/>
          <w:i w:val="0"/>
          <w:sz w:val="28"/>
        </w:rPr>
        <w:t>6.1 Conclusion</w:t>
      </w:r>
    </w:p>
    <w:p>
      <w:pPr>
        <w:spacing w:after="160" w:line="252" w:lineRule="auto"/>
        <w:ind w:firstLine="360"/>
      </w:pPr>
      <w:r>
        <w:rPr>
          <w:rFonts w:ascii="Times New Roman" w:hAnsi="Times New Roman"/>
          <w:b w:val="0"/>
          <w:i w:val="0"/>
          <w:sz w:val="24"/>
        </w:rPr>
        <w:t>Process planning provides a clear link between component design and workshop manufacture. In this case, the flanged hub is produced through a controlled sequence of cutting, turning, boring, milling, drilling, tapping and inspection. Establishing the flange face and bore as functional datums early in the route reduces concentricity error and supports reliable secondary machining. The plan also defines inspection points so that nonconforming parts can be detected before packing.</w:t>
      </w:r>
    </w:p>
    <w:p>
      <w:pPr>
        <w:spacing w:after="160" w:line="252" w:lineRule="auto" w:before="160"/>
        <w:ind w:firstLine="0"/>
      </w:pPr>
      <w:r>
        <w:rPr>
          <w:rFonts w:ascii="Times New Roman" w:hAnsi="Times New Roman"/>
          <w:b/>
          <w:i w:val="0"/>
          <w:sz w:val="28"/>
        </w:rPr>
        <w:t>6.2 Future Scope</w:t>
      </w:r>
    </w:p>
    <w:p>
      <w:pPr>
        <w:spacing w:after="40" w:line="252" w:lineRule="auto"/>
        <w:ind w:firstLine="360"/>
      </w:pPr>
      <w:r>
        <w:rPr>
          <w:rFonts w:ascii="Times New Roman" w:hAnsi="Times New Roman"/>
          <w:b w:val="0"/>
          <w:i w:val="0"/>
          <w:sz w:val="24"/>
        </w:rPr>
        <w:t>• Replace representative cycle times with time-study data from actual production.</w:t>
      </w:r>
    </w:p>
    <w:p>
      <w:pPr>
        <w:spacing w:after="40" w:line="252" w:lineRule="auto"/>
        <w:ind w:firstLine="360"/>
      </w:pPr>
      <w:r>
        <w:rPr>
          <w:rFonts w:ascii="Times New Roman" w:hAnsi="Times New Roman"/>
          <w:b w:val="0"/>
          <w:i w:val="0"/>
          <w:sz w:val="24"/>
        </w:rPr>
        <w:t>• Use in-machine probing and statistical process control for the bore and runout dimensions.</w:t>
      </w:r>
    </w:p>
    <w:p>
      <w:pPr>
        <w:spacing w:after="40" w:line="252" w:lineRule="auto"/>
        <w:ind w:firstLine="360"/>
      </w:pPr>
      <w:r>
        <w:rPr>
          <w:rFonts w:ascii="Times New Roman" w:hAnsi="Times New Roman"/>
          <w:b w:val="0"/>
          <w:i w:val="0"/>
          <w:sz w:val="24"/>
        </w:rPr>
        <w:t>• Introduce a dedicated hydraulic or pneumatic fixture for higher production volumes.</w:t>
      </w:r>
    </w:p>
    <w:p>
      <w:pPr>
        <w:spacing w:after="40" w:line="252" w:lineRule="auto"/>
        <w:ind w:firstLine="360"/>
      </w:pPr>
      <w:r>
        <w:rPr>
          <w:rFonts w:ascii="Times New Roman" w:hAnsi="Times New Roman"/>
          <w:b w:val="0"/>
          <w:i w:val="0"/>
          <w:sz w:val="24"/>
        </w:rPr>
        <w:t>• Use bar-fed turning and automated part transfer to reduce handling time.</w:t>
      </w:r>
    </w:p>
    <w:p>
      <w:pPr>
        <w:spacing w:after="40" w:line="252" w:lineRule="auto"/>
        <w:ind w:firstLine="360"/>
      </w:pPr>
      <w:r>
        <w:rPr>
          <w:rFonts w:ascii="Times New Roman" w:hAnsi="Times New Roman"/>
          <w:b w:val="0"/>
          <w:i w:val="0"/>
          <w:sz w:val="24"/>
        </w:rPr>
        <w:t>• Develop a digital route sheet linked to tool-life and inspection records.</w:t>
      </w:r>
    </w:p>
    <w:sectPr w:rsidR="00FC693F" w:rsidRPr="0006063C" w:rsidSect="00034616">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Planning for a Manufactured Component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